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537C87">
      <w:pPr>
        <w:spacing w:line="1100" w:lineRule="exact"/>
        <w:jc w:val="center"/>
        <w:rPr>
          <w:rFonts w:ascii="宋体" w:hAnsi="宋体" w:eastAsia="宋体" w:cs="微软雅黑"/>
          <w:b/>
          <w:sz w:val="56"/>
          <w:szCs w:val="30"/>
          <w:lang w:eastAsia="zh-CN"/>
        </w:rPr>
      </w:pPr>
      <w:r>
        <w:rPr>
          <w:rFonts w:hint="eastAsia" w:ascii="宋体" w:hAnsi="宋体" w:eastAsia="宋体" w:cs="微软雅黑"/>
          <w:b/>
          <w:sz w:val="56"/>
          <w:szCs w:val="30"/>
          <w:lang w:eastAsia="zh-CN"/>
        </w:rPr>
        <w:t>宁夏</w:t>
      </w:r>
      <w:r>
        <w:rPr>
          <w:rFonts w:hint="eastAsia" w:ascii="宋体" w:hAnsi="宋体" w:eastAsia="宋体" w:cs="微软雅黑"/>
          <w:b/>
          <w:sz w:val="56"/>
          <w:szCs w:val="30"/>
          <w:lang w:val="en-US" w:eastAsia="zh-CN"/>
        </w:rPr>
        <w:t>天元锰业股份</w:t>
      </w:r>
      <w:r>
        <w:rPr>
          <w:rFonts w:hint="eastAsia" w:ascii="宋体" w:hAnsi="宋体" w:eastAsia="宋体" w:cs="微软雅黑"/>
          <w:b/>
          <w:sz w:val="56"/>
          <w:szCs w:val="30"/>
          <w:lang w:eastAsia="zh-CN"/>
        </w:rPr>
        <w:t>有限公司</w:t>
      </w:r>
    </w:p>
    <w:p w14:paraId="12BEF126">
      <w:pPr>
        <w:spacing w:line="1100" w:lineRule="exact"/>
        <w:jc w:val="center"/>
        <w:rPr>
          <w:rFonts w:ascii="宋体" w:hAnsi="宋体" w:eastAsia="宋体" w:cs="微软雅黑"/>
          <w:b/>
          <w:sz w:val="56"/>
          <w:szCs w:val="30"/>
          <w:lang w:eastAsia="zh-CN"/>
        </w:rPr>
      </w:pPr>
      <w:r>
        <w:rPr>
          <w:rFonts w:hint="eastAsia" w:ascii="宋体" w:hAnsi="宋体" w:eastAsia="宋体" w:cs="微软雅黑"/>
          <w:b/>
          <w:sz w:val="56"/>
          <w:szCs w:val="30"/>
          <w:lang w:eastAsia="zh-CN"/>
        </w:rPr>
        <w:t>单梁电动起重</w:t>
      </w:r>
      <w:r>
        <w:rPr>
          <w:rFonts w:ascii="宋体" w:hAnsi="宋体" w:eastAsia="宋体" w:cs="微软雅黑"/>
          <w:b/>
          <w:sz w:val="56"/>
          <w:szCs w:val="30"/>
          <w:lang w:eastAsia="zh-CN"/>
        </w:rPr>
        <w:t>机</w:t>
      </w:r>
    </w:p>
    <w:p w14:paraId="26B8D998">
      <w:pPr>
        <w:spacing w:line="1100" w:lineRule="exact"/>
        <w:rPr>
          <w:rFonts w:ascii="宋体" w:hAnsi="宋体" w:eastAsia="宋体" w:cs="微软雅黑"/>
          <w:b/>
          <w:sz w:val="56"/>
          <w:szCs w:val="30"/>
          <w:lang w:eastAsia="zh-CN"/>
        </w:rPr>
      </w:pPr>
    </w:p>
    <w:p w14:paraId="4CCE2C46">
      <w:pPr>
        <w:spacing w:line="1100" w:lineRule="exact"/>
        <w:rPr>
          <w:rFonts w:ascii="宋体" w:hAnsi="宋体" w:eastAsia="宋体" w:cs="微软雅黑"/>
          <w:b/>
          <w:sz w:val="56"/>
          <w:szCs w:val="30"/>
          <w:lang w:eastAsia="zh-CN"/>
        </w:rPr>
      </w:pPr>
    </w:p>
    <w:p w14:paraId="3C402439">
      <w:pPr>
        <w:spacing w:line="1100" w:lineRule="exact"/>
        <w:jc w:val="center"/>
        <w:rPr>
          <w:rFonts w:ascii="宋体" w:hAnsi="宋体" w:eastAsia="宋体" w:cs="微软雅黑"/>
          <w:b/>
          <w:sz w:val="56"/>
          <w:szCs w:val="30"/>
          <w:lang w:eastAsia="zh-CN"/>
        </w:rPr>
      </w:pPr>
      <w:r>
        <w:rPr>
          <w:rFonts w:hint="eastAsia" w:ascii="宋体" w:hAnsi="宋体" w:eastAsia="宋体" w:cs="微软雅黑"/>
          <w:b/>
          <w:sz w:val="56"/>
          <w:szCs w:val="30"/>
          <w:lang w:eastAsia="zh-CN"/>
        </w:rPr>
        <w:t>技</w:t>
      </w:r>
    </w:p>
    <w:p w14:paraId="32554B59">
      <w:pPr>
        <w:spacing w:line="1100" w:lineRule="exact"/>
        <w:jc w:val="center"/>
        <w:rPr>
          <w:rFonts w:ascii="宋体" w:hAnsi="宋体" w:eastAsia="宋体" w:cs="微软雅黑"/>
          <w:b/>
          <w:sz w:val="56"/>
          <w:szCs w:val="30"/>
          <w:lang w:eastAsia="zh-CN"/>
        </w:rPr>
      </w:pPr>
      <w:r>
        <w:rPr>
          <w:rFonts w:hint="eastAsia" w:ascii="宋体" w:hAnsi="宋体" w:eastAsia="宋体" w:cs="微软雅黑"/>
          <w:b/>
          <w:sz w:val="56"/>
          <w:szCs w:val="30"/>
          <w:lang w:eastAsia="zh-CN"/>
        </w:rPr>
        <w:t>术</w:t>
      </w:r>
    </w:p>
    <w:p w14:paraId="3EB7311B">
      <w:pPr>
        <w:spacing w:line="1100" w:lineRule="exact"/>
        <w:jc w:val="center"/>
        <w:rPr>
          <w:rFonts w:ascii="宋体" w:hAnsi="宋体" w:eastAsia="宋体" w:cs="微软雅黑"/>
          <w:b/>
          <w:sz w:val="56"/>
          <w:szCs w:val="30"/>
          <w:lang w:eastAsia="zh-CN"/>
        </w:rPr>
      </w:pPr>
      <w:r>
        <w:rPr>
          <w:rFonts w:hint="eastAsia" w:ascii="宋体" w:hAnsi="宋体" w:eastAsia="宋体" w:cs="微软雅黑"/>
          <w:b/>
          <w:sz w:val="56"/>
          <w:szCs w:val="30"/>
          <w:lang w:eastAsia="zh-CN"/>
        </w:rPr>
        <w:t>协</w:t>
      </w:r>
    </w:p>
    <w:p w14:paraId="651A7C3F">
      <w:pPr>
        <w:spacing w:line="1100" w:lineRule="exact"/>
        <w:jc w:val="center"/>
        <w:rPr>
          <w:rFonts w:ascii="宋体" w:hAnsi="宋体" w:eastAsia="宋体" w:cs="微软雅黑"/>
          <w:b/>
          <w:sz w:val="56"/>
          <w:szCs w:val="30"/>
          <w:lang w:eastAsia="zh-CN"/>
        </w:rPr>
      </w:pPr>
      <w:r>
        <w:rPr>
          <w:rFonts w:hint="eastAsia" w:ascii="宋体" w:hAnsi="宋体" w:eastAsia="宋体" w:cs="微软雅黑"/>
          <w:b/>
          <w:sz w:val="56"/>
          <w:szCs w:val="30"/>
          <w:lang w:eastAsia="zh-CN"/>
        </w:rPr>
        <w:t>议</w:t>
      </w:r>
    </w:p>
    <w:p w14:paraId="1F589375">
      <w:pPr>
        <w:spacing w:line="1100" w:lineRule="exact"/>
        <w:rPr>
          <w:rFonts w:ascii="宋体" w:hAnsi="宋体" w:eastAsia="宋体" w:cs="微软雅黑"/>
          <w:b/>
          <w:sz w:val="56"/>
          <w:szCs w:val="30"/>
          <w:lang w:eastAsia="zh-CN"/>
        </w:rPr>
      </w:pPr>
    </w:p>
    <w:p w14:paraId="12569F54">
      <w:pPr>
        <w:spacing w:line="600" w:lineRule="exact"/>
        <w:ind w:firstLine="2530" w:firstLineChars="900"/>
        <w:rPr>
          <w:rFonts w:ascii="宋体" w:hAnsi="宋体" w:eastAsia="宋体" w:cs="微软雅黑"/>
          <w:b/>
          <w:sz w:val="28"/>
          <w:szCs w:val="30"/>
          <w:lang w:eastAsia="zh-CN"/>
        </w:rPr>
      </w:pPr>
    </w:p>
    <w:p w14:paraId="7D650F89">
      <w:pPr>
        <w:spacing w:line="600" w:lineRule="exact"/>
        <w:ind w:firstLine="2530" w:firstLineChars="900"/>
        <w:rPr>
          <w:rFonts w:ascii="宋体" w:hAnsi="宋体" w:eastAsia="宋体" w:cs="微软雅黑"/>
          <w:b/>
          <w:sz w:val="28"/>
          <w:szCs w:val="30"/>
          <w:lang w:eastAsia="zh-CN"/>
        </w:rPr>
      </w:pPr>
    </w:p>
    <w:p w14:paraId="272AC31C">
      <w:pPr>
        <w:spacing w:line="600" w:lineRule="exact"/>
        <w:ind w:firstLine="2530" w:firstLineChars="900"/>
        <w:rPr>
          <w:rFonts w:ascii="宋体" w:hAnsi="宋体" w:eastAsia="宋体" w:cs="微软雅黑"/>
          <w:b/>
          <w:sz w:val="28"/>
          <w:szCs w:val="30"/>
          <w:lang w:eastAsia="zh-CN"/>
        </w:rPr>
      </w:pPr>
      <w:r>
        <w:rPr>
          <w:rFonts w:hint="eastAsia" w:ascii="宋体" w:hAnsi="宋体" w:eastAsia="宋体" w:cs="微软雅黑"/>
          <w:b/>
          <w:sz w:val="28"/>
          <w:szCs w:val="30"/>
          <w:lang w:eastAsia="zh-CN"/>
        </w:rPr>
        <w:t>合同编号：</w:t>
      </w:r>
    </w:p>
    <w:p w14:paraId="72539CE0">
      <w:pPr>
        <w:spacing w:line="600" w:lineRule="exact"/>
        <w:ind w:firstLine="2530" w:firstLineChars="900"/>
        <w:rPr>
          <w:rFonts w:ascii="宋体" w:hAnsi="宋体" w:eastAsia="宋体" w:cs="微软雅黑"/>
          <w:b/>
          <w:sz w:val="28"/>
          <w:szCs w:val="30"/>
          <w:lang w:eastAsia="zh-CN"/>
        </w:rPr>
      </w:pPr>
      <w:r>
        <w:rPr>
          <w:rFonts w:hint="eastAsia" w:ascii="宋体" w:hAnsi="宋体" w:eastAsia="宋体" w:cs="微软雅黑"/>
          <w:b/>
          <w:sz w:val="28"/>
          <w:szCs w:val="30"/>
          <w:lang w:eastAsia="zh-CN"/>
        </w:rPr>
        <w:t>需 方：宁夏天元</w:t>
      </w:r>
      <w:r>
        <w:rPr>
          <w:rFonts w:hint="eastAsia" w:ascii="宋体" w:hAnsi="宋体" w:eastAsia="宋体" w:cs="微软雅黑"/>
          <w:b/>
          <w:sz w:val="28"/>
          <w:szCs w:val="30"/>
          <w:lang w:val="en-US" w:eastAsia="zh-CN"/>
        </w:rPr>
        <w:t>锰业股份</w:t>
      </w:r>
      <w:r>
        <w:rPr>
          <w:rFonts w:hint="eastAsia" w:ascii="宋体" w:hAnsi="宋体" w:eastAsia="宋体" w:cs="微软雅黑"/>
          <w:b/>
          <w:sz w:val="28"/>
          <w:szCs w:val="30"/>
          <w:lang w:eastAsia="zh-CN"/>
        </w:rPr>
        <w:t>有限公司</w:t>
      </w:r>
    </w:p>
    <w:p w14:paraId="5055A60A">
      <w:pPr>
        <w:spacing w:line="600" w:lineRule="exact"/>
        <w:ind w:firstLine="2530" w:firstLineChars="900"/>
        <w:rPr>
          <w:rFonts w:hint="default" w:ascii="宋体" w:hAnsi="宋体" w:eastAsia="宋体" w:cs="微软雅黑"/>
          <w:b/>
          <w:sz w:val="28"/>
          <w:szCs w:val="30"/>
          <w:lang w:val="en-US" w:eastAsia="zh-CN"/>
        </w:rPr>
      </w:pPr>
      <w:r>
        <w:rPr>
          <w:rFonts w:hint="eastAsia" w:ascii="宋体" w:hAnsi="宋体" w:eastAsia="宋体" w:cs="微软雅黑"/>
          <w:b/>
          <w:sz w:val="28"/>
          <w:szCs w:val="30"/>
          <w:lang w:eastAsia="zh-CN"/>
        </w:rPr>
        <w:t>供 方：</w:t>
      </w:r>
    </w:p>
    <w:p w14:paraId="50687DEC">
      <w:pPr>
        <w:spacing w:line="600" w:lineRule="exact"/>
        <w:ind w:firstLine="2530" w:firstLineChars="900"/>
        <w:rPr>
          <w:rFonts w:ascii="宋体" w:hAnsi="宋体" w:eastAsia="宋体" w:cs="微软雅黑"/>
          <w:b/>
          <w:sz w:val="28"/>
          <w:szCs w:val="30"/>
          <w:lang w:eastAsia="zh-CN"/>
        </w:rPr>
      </w:pPr>
      <w:r>
        <w:rPr>
          <w:rFonts w:hint="eastAsia" w:ascii="宋体" w:hAnsi="宋体" w:eastAsia="宋体" w:cs="微软雅黑"/>
          <w:b/>
          <w:sz w:val="28"/>
          <w:szCs w:val="30"/>
          <w:lang w:eastAsia="zh-CN"/>
        </w:rPr>
        <w:t>签订地点：宁夏</w:t>
      </w:r>
      <w:r>
        <w:rPr>
          <w:rFonts w:hint="eastAsia" w:ascii="MS Mincho" w:hAnsi="MS Mincho" w:eastAsia="MS Mincho" w:cs="MS Mincho"/>
          <w:b/>
          <w:sz w:val="28"/>
          <w:szCs w:val="30"/>
          <w:lang w:eastAsia="zh-CN"/>
        </w:rPr>
        <w:t>▪</w:t>
      </w:r>
      <w:r>
        <w:rPr>
          <w:rFonts w:hint="eastAsia" w:ascii="宋体" w:hAnsi="宋体" w:eastAsia="宋体" w:cs="微软雅黑"/>
          <w:b/>
          <w:sz w:val="28"/>
          <w:szCs w:val="30"/>
          <w:lang w:eastAsia="zh-CN"/>
        </w:rPr>
        <w:t>中宁</w:t>
      </w:r>
    </w:p>
    <w:p w14:paraId="33F68BB5">
      <w:pPr>
        <w:pStyle w:val="3"/>
        <w:spacing w:before="0" w:line="380" w:lineRule="exact"/>
        <w:ind w:left="0"/>
        <w:rPr>
          <w:rFonts w:hint="eastAsia" w:cs="Arial" w:asciiTheme="minorEastAsia" w:hAnsiTheme="minorEastAsia" w:eastAsiaTheme="minorEastAsia"/>
          <w:b/>
          <w:color w:val="000000" w:themeColor="text1"/>
          <w:sz w:val="21"/>
          <w:szCs w:val="21"/>
          <w:lang w:eastAsia="zh-CN"/>
          <w14:textFill>
            <w14:solidFill>
              <w14:schemeClr w14:val="tx1"/>
            </w14:solidFill>
          </w14:textFill>
        </w:rPr>
      </w:pPr>
    </w:p>
    <w:p w14:paraId="7B16EA1A">
      <w:pPr>
        <w:pStyle w:val="3"/>
        <w:spacing w:before="0" w:line="380" w:lineRule="exact"/>
        <w:ind w:left="0"/>
        <w:rPr>
          <w:rFonts w:cs="Arial" w:asciiTheme="minorEastAsia" w:hAnsiTheme="minorEastAsia" w:eastAsiaTheme="minorEastAsia"/>
          <w:b/>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b/>
          <w:color w:val="000000" w:themeColor="text1"/>
          <w:sz w:val="21"/>
          <w:szCs w:val="21"/>
          <w:lang w:eastAsia="zh-CN"/>
          <w14:textFill>
            <w14:solidFill>
              <w14:schemeClr w14:val="tx1"/>
            </w14:solidFill>
          </w14:textFill>
        </w:rPr>
        <w:t>一</w:t>
      </w:r>
      <w:r>
        <w:rPr>
          <w:rFonts w:cs="Arial" w:asciiTheme="minorEastAsia" w:hAnsiTheme="minorEastAsia" w:eastAsiaTheme="minorEastAsia"/>
          <w:b/>
          <w:color w:val="000000" w:themeColor="text1"/>
          <w:sz w:val="21"/>
          <w:szCs w:val="21"/>
          <w:lang w:eastAsia="zh-CN"/>
          <w14:textFill>
            <w14:solidFill>
              <w14:schemeClr w14:val="tx1"/>
            </w14:solidFill>
          </w14:textFill>
        </w:rPr>
        <w:t>、</w:t>
      </w:r>
      <w:r>
        <w:rPr>
          <w:rFonts w:hint="eastAsia" w:cs="Arial" w:asciiTheme="minorEastAsia" w:hAnsiTheme="minorEastAsia" w:eastAsiaTheme="minorEastAsia"/>
          <w:b/>
          <w:color w:val="000000" w:themeColor="text1"/>
          <w:sz w:val="21"/>
          <w:szCs w:val="21"/>
          <w:lang w:eastAsia="zh-CN"/>
          <w14:textFill>
            <w14:solidFill>
              <w14:schemeClr w14:val="tx1"/>
            </w14:solidFill>
          </w14:textFill>
        </w:rPr>
        <w:t>基本定义</w:t>
      </w:r>
      <w:r>
        <w:rPr>
          <w:rFonts w:cs="Arial" w:asciiTheme="minorEastAsia" w:hAnsiTheme="minorEastAsia" w:eastAsiaTheme="minorEastAsia"/>
          <w:b/>
          <w:color w:val="000000" w:themeColor="text1"/>
          <w:sz w:val="21"/>
          <w:szCs w:val="21"/>
          <w:lang w:eastAsia="zh-CN"/>
          <w14:textFill>
            <w14:solidFill>
              <w14:schemeClr w14:val="tx1"/>
            </w14:solidFill>
          </w14:textFill>
        </w:rPr>
        <w:t>：</w:t>
      </w:r>
    </w:p>
    <w:p w14:paraId="546E669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 本技术协议书是</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与</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签订的商务合同的附件，为该合同不可分割的一部分。</w:t>
      </w:r>
    </w:p>
    <w:p w14:paraId="71753647">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2</w:t>
      </w:r>
      <w:r>
        <w:rPr>
          <w:rFonts w:cs="Arial" w:asciiTheme="minorEastAsia" w:hAnsiTheme="minorEastAsia" w:eastAsiaTheme="minorEastAsia"/>
          <w:color w:val="000000" w:themeColor="text1"/>
          <w:sz w:val="21"/>
          <w:szCs w:val="21"/>
          <w:lang w:eastAsia="zh-CN"/>
          <w14:textFill>
            <w14:solidFill>
              <w14:schemeClr w14:val="tx1"/>
            </w14:solidFill>
          </w14:textFill>
        </w:rPr>
        <w:t>本技术协议仅提供有限的技术要求 ，并未对一切技术细节做出规定，也未充分引述有关标准的详细条文，</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的产品应符合有关国家行业技术规范和标准以及双方确认的技术资料要求。</w:t>
      </w:r>
    </w:p>
    <w:p w14:paraId="4F0B4218">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1.3</w:t>
      </w:r>
      <w:r>
        <w:rPr>
          <w:rFonts w:cs="Arial" w:asciiTheme="minorEastAsia" w:hAnsiTheme="minorEastAsia" w:eastAsiaTheme="minorEastAsia"/>
          <w:color w:val="000000" w:themeColor="text1"/>
          <w:sz w:val="21"/>
          <w:szCs w:val="21"/>
          <w:lang w:eastAsia="zh-CN"/>
          <w14:textFill>
            <w14:solidFill>
              <w14:schemeClr w14:val="tx1"/>
            </w14:solidFill>
          </w14:textFill>
        </w:rPr>
        <w:t>在合同签订以后</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保留对</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提供的技术资料提出补充和修改的权利，</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在此承诺予以配合</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修改技术资料需双方协商后签订相关补充协议后方能生效</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w:t>
      </w:r>
    </w:p>
    <w:p w14:paraId="20FD9D48">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1.4 本协议一式</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两份</w:t>
      </w:r>
      <w:r>
        <w:rPr>
          <w:rFonts w:cs="Arial" w:asciiTheme="minorEastAsia" w:hAnsiTheme="minorEastAsia" w:eastAsiaTheme="minorEastAsia"/>
          <w:color w:val="000000" w:themeColor="text1"/>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供、需</w:t>
      </w:r>
      <w:r>
        <w:rPr>
          <w:rFonts w:cs="Arial" w:asciiTheme="minorEastAsia" w:hAnsiTheme="minorEastAsia" w:eastAsiaTheme="minorEastAsia"/>
          <w:color w:val="000000" w:themeColor="text1"/>
          <w:sz w:val="21"/>
          <w:szCs w:val="21"/>
          <w:lang w:eastAsia="zh-CN"/>
          <w14:textFill>
            <w14:solidFill>
              <w14:schemeClr w14:val="tx1"/>
            </w14:solidFill>
          </w14:textFill>
        </w:rPr>
        <w:t>双方各</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一</w:t>
      </w:r>
      <w:r>
        <w:rPr>
          <w:rFonts w:cs="Arial" w:asciiTheme="minorEastAsia" w:hAnsiTheme="minorEastAsia" w:eastAsiaTheme="minorEastAsia"/>
          <w:color w:val="000000" w:themeColor="text1"/>
          <w:sz w:val="21"/>
          <w:szCs w:val="21"/>
          <w:lang w:eastAsia="zh-CN"/>
          <w14:textFill>
            <w14:solidFill>
              <w14:schemeClr w14:val="tx1"/>
            </w14:solidFill>
          </w14:textFill>
        </w:rPr>
        <w:t>份，并与所关联的商务合同同时生效。</w:t>
      </w:r>
    </w:p>
    <w:p w14:paraId="433213A7">
      <w:pPr>
        <w:pStyle w:val="3"/>
        <w:spacing w:before="0" w:line="380" w:lineRule="exact"/>
        <w:ind w:left="0"/>
        <w:rPr>
          <w:rFonts w:cs="Arial" w:asciiTheme="minorEastAsia" w:hAnsiTheme="minorEastAsia" w:eastAsiaTheme="minorEastAsia"/>
          <w:b/>
          <w:color w:val="000000" w:themeColor="text1"/>
          <w:sz w:val="21"/>
          <w:szCs w:val="21"/>
          <w:lang w:eastAsia="zh-CN"/>
          <w14:textFill>
            <w14:solidFill>
              <w14:schemeClr w14:val="tx1"/>
            </w14:solidFill>
          </w14:textFill>
        </w:rPr>
      </w:pPr>
      <w:r>
        <w:rPr>
          <w:rFonts w:cs="Arial" w:asciiTheme="minorEastAsia" w:hAnsiTheme="minorEastAsia" w:eastAsiaTheme="minorEastAsia"/>
          <w:b/>
          <w:color w:val="000000" w:themeColor="text1"/>
          <w:sz w:val="21"/>
          <w:szCs w:val="21"/>
          <w:lang w:eastAsia="zh-CN"/>
          <w14:textFill>
            <w14:solidFill>
              <w14:schemeClr w14:val="tx1"/>
            </w14:solidFill>
          </w14:textFill>
        </w:rPr>
        <w:t>二、地理位置、气象环境及工艺环境描述</w:t>
      </w:r>
    </w:p>
    <w:p w14:paraId="3D64D79A">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2.1项目地理位置</w:t>
      </w:r>
    </w:p>
    <w:p w14:paraId="7C052C9C">
      <w:pPr>
        <w:pStyle w:val="3"/>
        <w:spacing w:before="0" w:line="380" w:lineRule="exact"/>
        <w:ind w:left="0" w:firstLine="420" w:firstLine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宁夏中宁县石空工业园区宁夏天元</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锰业</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股份</w:t>
      </w:r>
      <w:r>
        <w:rPr>
          <w:rFonts w:cs="Arial" w:asciiTheme="minorEastAsia" w:hAnsiTheme="minorEastAsia" w:eastAsiaTheme="minorEastAsia"/>
          <w:color w:val="000000" w:themeColor="text1"/>
          <w:sz w:val="21"/>
          <w:szCs w:val="21"/>
          <w:lang w:eastAsia="zh-CN"/>
          <w14:textFill>
            <w14:solidFill>
              <w14:schemeClr w14:val="tx1"/>
            </w14:solidFill>
          </w14:textFill>
        </w:rPr>
        <w:t>有限公司</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金属锰一厂</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一</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期</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电解二线剥离室</w:t>
      </w:r>
      <w:r>
        <w:rPr>
          <w:rFonts w:cs="Arial" w:asciiTheme="minorEastAsia" w:hAnsiTheme="minorEastAsia" w:eastAsiaTheme="minorEastAsia"/>
          <w:color w:val="000000" w:themeColor="text1"/>
          <w:sz w:val="21"/>
          <w:szCs w:val="21"/>
          <w:lang w:eastAsia="zh-CN"/>
          <w14:textFill>
            <w14:solidFill>
              <w14:schemeClr w14:val="tx1"/>
            </w14:solidFill>
          </w14:textFill>
        </w:rPr>
        <w:t>。</w:t>
      </w:r>
    </w:p>
    <w:p w14:paraId="25FD5321">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2.2 气象条件</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中宁县地处宁夏中部，深居西北东部内陆，属中温带半干旱大陆性气候，同时也受到一些沙漠性气候影响，表现为冬季漫长，夏季短暂，四季分明，昼夜温差大，大风沙尘暴多，降水量远小于蒸发量。</w:t>
      </w:r>
      <w:r>
        <w:rPr>
          <w:rFonts w:cs="Arial" w:asciiTheme="minorEastAsia" w:hAnsiTheme="minorEastAsia" w:eastAsiaTheme="minorEastAsia"/>
          <w:color w:val="000000" w:themeColor="text1"/>
          <w:sz w:val="21"/>
          <w:szCs w:val="21"/>
          <w:lang w:eastAsia="zh-CN"/>
          <w14:textFill>
            <w14:solidFill>
              <w14:schemeClr w14:val="tx1"/>
            </w14:solidFill>
          </w14:textFill>
        </w:rPr>
        <w:tab/>
      </w:r>
    </w:p>
    <w:p w14:paraId="2FB66348">
      <w:pPr>
        <w:pStyle w:val="3"/>
        <w:spacing w:before="0" w:line="380" w:lineRule="exact"/>
        <w:ind w:left="0" w:firstLine="420" w:firstLine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年平均气名曰：</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9.3</w:t>
      </w:r>
      <w:r>
        <w:rPr>
          <w:rFonts w:cs="Arial" w:asciiTheme="minorEastAsia" w:hAnsiTheme="minorEastAsia" w:eastAsiaTheme="minorEastAsia"/>
          <w:color w:val="000000" w:themeColor="text1"/>
          <w:sz w:val="21"/>
          <w:szCs w:val="21"/>
          <w:lang w:eastAsia="zh-CN"/>
          <w14:textFill>
            <w14:solidFill>
              <w14:schemeClr w14:val="tx1"/>
            </w14:solidFill>
          </w14:textFill>
        </w:rPr>
        <w:t>℃</w:t>
      </w:r>
    </w:p>
    <w:p w14:paraId="34923A57">
      <w:pPr>
        <w:pStyle w:val="3"/>
        <w:spacing w:before="0" w:line="380" w:lineRule="exact"/>
        <w:ind w:left="0" w:firstLine="420" w:firstLine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极端最高气温：38.5℃</w:t>
      </w:r>
    </w:p>
    <w:p w14:paraId="696964B8">
      <w:pPr>
        <w:pStyle w:val="3"/>
        <w:spacing w:before="0" w:line="380" w:lineRule="exact"/>
        <w:ind w:left="0" w:firstLine="420" w:firstLine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极端最低气温：-26.9℃</w:t>
      </w:r>
    </w:p>
    <w:p w14:paraId="0B0A0451">
      <w:pPr>
        <w:pStyle w:val="3"/>
        <w:spacing w:before="0" w:line="380" w:lineRule="exact"/>
        <w:ind w:left="0" w:firstLine="420" w:firstLine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年平均相对温度：52%</w:t>
      </w:r>
    </w:p>
    <w:p w14:paraId="353971ED">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年平均气压：882.3mbar</w:t>
      </w:r>
    </w:p>
    <w:p w14:paraId="0960BCD1">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年平均降雨量：218.9mm</w:t>
      </w:r>
    </w:p>
    <w:p w14:paraId="11237DA0">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年平均蒸发量：2050.7mm 最大冻土深度：83cm 年平均日照时数：2772.9h</w:t>
      </w:r>
    </w:p>
    <w:p w14:paraId="32947340">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年平均风速：2.9m/s</w:t>
      </w:r>
    </w:p>
    <w:p w14:paraId="7E130BAB">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最大风速：20.7m/s</w:t>
      </w:r>
    </w:p>
    <w:p w14:paraId="384877FF">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bookmarkStart w:id="0" w:name="20150522_175304_008"/>
      <w:bookmarkEnd w:id="0"/>
      <w:r>
        <w:rPr>
          <w:rFonts w:cs="Arial" w:asciiTheme="minorEastAsia" w:hAnsiTheme="minorEastAsia" w:eastAsiaTheme="minorEastAsia"/>
          <w:color w:val="000000" w:themeColor="text1"/>
          <w:sz w:val="21"/>
          <w:szCs w:val="21"/>
          <w:lang w:eastAsia="zh-CN"/>
          <w14:textFill>
            <w14:solidFill>
              <w14:schemeClr w14:val="tx1"/>
            </w14:solidFill>
          </w14:textFill>
        </w:rPr>
        <w:t>年主导风向：西北风向 年静风频率 ：32%</w:t>
      </w:r>
    </w:p>
    <w:p w14:paraId="3F4486B6">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平均雷暴天数：16. Sd</w:t>
      </w:r>
    </w:p>
    <w:p w14:paraId="3C1E0CC3">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海拔高度：1302 米</w:t>
      </w:r>
    </w:p>
    <w:p w14:paraId="00AFDF5F">
      <w:pPr>
        <w:pStyle w:val="3"/>
        <w:spacing w:before="0" w:line="380" w:lineRule="exact"/>
        <w:ind w:left="440" w:left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区域地震设防烈度：8 度。</w:t>
      </w:r>
    </w:p>
    <w:p w14:paraId="0A368AB1">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2.3 工艺环境描述</w:t>
      </w:r>
    </w:p>
    <w:p w14:paraId="2FE3DC02">
      <w:pPr>
        <w:pStyle w:val="3"/>
        <w:spacing w:before="0" w:line="380" w:lineRule="exact"/>
        <w:ind w:left="0" w:firstLine="420" w:firstLine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一</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期</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电解二线剥离室。</w:t>
      </w:r>
    </w:p>
    <w:p w14:paraId="6784DE4D">
      <w:pPr>
        <w:pStyle w:val="3"/>
        <w:spacing w:before="0" w:line="380" w:lineRule="exact"/>
        <w:ind w:left="440" w:leftChars="200" w:firstLine="315" w:firstLineChars="15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吊运吨袋及设备检修使用</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16CC5CCC">
      <w:pPr>
        <w:pStyle w:val="3"/>
        <w:spacing w:before="0" w:line="380" w:lineRule="exact"/>
        <w:ind w:left="0"/>
        <w:rPr>
          <w:rFonts w:hint="eastAsia" w:cs="Arial" w:asciiTheme="minorEastAsia" w:hAnsiTheme="minorEastAsia" w:eastAsiaTheme="minorEastAsia"/>
          <w:b/>
          <w:color w:val="000000" w:themeColor="text1"/>
          <w:sz w:val="21"/>
          <w:szCs w:val="21"/>
          <w:lang w:val="en-US" w:eastAsia="zh-CN"/>
          <w14:textFill>
            <w14:solidFill>
              <w14:schemeClr w14:val="tx1"/>
            </w14:solidFill>
          </w14:textFill>
        </w:rPr>
      </w:pPr>
      <w:r>
        <w:rPr>
          <w:rFonts w:hint="eastAsia" w:cs="Arial" w:asciiTheme="minorEastAsia" w:hAnsiTheme="minorEastAsia" w:eastAsiaTheme="minorEastAsia"/>
          <w:b/>
          <w:color w:val="000000" w:themeColor="text1"/>
          <w:sz w:val="21"/>
          <w:szCs w:val="21"/>
          <w:lang w:val="en-US" w:eastAsia="zh-CN"/>
          <w14:textFill>
            <w14:solidFill>
              <w14:schemeClr w14:val="tx1"/>
            </w14:solidFill>
          </w14:textFill>
        </w:rPr>
        <w:t>三、供货范围：</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04"/>
        <w:gridCol w:w="1467"/>
        <w:gridCol w:w="1187"/>
        <w:gridCol w:w="1540"/>
        <w:gridCol w:w="1298"/>
        <w:gridCol w:w="3173"/>
      </w:tblGrid>
      <w:tr w14:paraId="35CCAE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704" w:type="dxa"/>
            <w:tcBorders>
              <w:bottom w:val="single" w:color="000000" w:sz="4" w:space="0"/>
              <w:right w:val="single" w:color="000000" w:sz="4" w:space="0"/>
            </w:tcBorders>
            <w:noWrap w:val="0"/>
            <w:vAlign w:val="top"/>
          </w:tcPr>
          <w:p w14:paraId="61ECAE00">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序号</w:t>
            </w:r>
          </w:p>
        </w:tc>
        <w:tc>
          <w:tcPr>
            <w:tcW w:w="1467" w:type="dxa"/>
            <w:tcBorders>
              <w:left w:val="single" w:color="000000" w:sz="4" w:space="0"/>
              <w:bottom w:val="single" w:color="000000" w:sz="4" w:space="0"/>
              <w:right w:val="single" w:color="000000" w:sz="4" w:space="0"/>
            </w:tcBorders>
            <w:noWrap w:val="0"/>
            <w:vAlign w:val="top"/>
          </w:tcPr>
          <w:p w14:paraId="67AF7CE0">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名称</w:t>
            </w:r>
          </w:p>
        </w:tc>
        <w:tc>
          <w:tcPr>
            <w:tcW w:w="1187" w:type="dxa"/>
            <w:tcBorders>
              <w:left w:val="single" w:color="000000" w:sz="4" w:space="0"/>
              <w:bottom w:val="single" w:color="000000" w:sz="4" w:space="0"/>
              <w:right w:val="single" w:color="000000" w:sz="4" w:space="0"/>
            </w:tcBorders>
            <w:noWrap w:val="0"/>
            <w:vAlign w:val="top"/>
          </w:tcPr>
          <w:p w14:paraId="687126DF">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安装位置</w:t>
            </w:r>
          </w:p>
        </w:tc>
        <w:tc>
          <w:tcPr>
            <w:tcW w:w="1540" w:type="dxa"/>
            <w:tcBorders>
              <w:left w:val="single" w:color="000000" w:sz="4" w:space="0"/>
              <w:bottom w:val="single" w:color="000000" w:sz="4" w:space="0"/>
              <w:right w:val="single" w:color="000000" w:sz="4" w:space="0"/>
            </w:tcBorders>
            <w:noWrap w:val="0"/>
            <w:vAlign w:val="top"/>
          </w:tcPr>
          <w:p w14:paraId="26DD4759">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规格型号</w:t>
            </w:r>
          </w:p>
        </w:tc>
        <w:tc>
          <w:tcPr>
            <w:tcW w:w="1298" w:type="dxa"/>
            <w:tcBorders>
              <w:left w:val="single" w:color="000000" w:sz="4" w:space="0"/>
              <w:bottom w:val="single" w:color="000000" w:sz="4" w:space="0"/>
              <w:right w:val="single" w:color="000000" w:sz="4" w:space="0"/>
            </w:tcBorders>
            <w:noWrap w:val="0"/>
            <w:vAlign w:val="top"/>
          </w:tcPr>
          <w:p w14:paraId="72C3DFDE">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数量（台套）</w:t>
            </w:r>
          </w:p>
        </w:tc>
        <w:tc>
          <w:tcPr>
            <w:tcW w:w="3173" w:type="dxa"/>
            <w:tcBorders>
              <w:left w:val="single" w:color="000000" w:sz="4" w:space="0"/>
              <w:bottom w:val="single" w:color="000000" w:sz="4" w:space="0"/>
            </w:tcBorders>
            <w:noWrap w:val="0"/>
            <w:vAlign w:val="top"/>
          </w:tcPr>
          <w:p w14:paraId="0CC12894">
            <w:pPr>
              <w:pStyle w:val="3"/>
              <w:spacing w:before="0" w:line="380" w:lineRule="exact"/>
              <w:ind w:left="440" w:leftChars="200"/>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备注</w:t>
            </w:r>
          </w:p>
        </w:tc>
      </w:tr>
      <w:tr w14:paraId="767B5B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9" w:hRule="atLeast"/>
        </w:trPr>
        <w:tc>
          <w:tcPr>
            <w:tcW w:w="704" w:type="dxa"/>
            <w:tcBorders>
              <w:top w:val="single" w:color="000000" w:sz="4" w:space="0"/>
              <w:bottom w:val="single" w:color="000000" w:sz="4" w:space="0"/>
              <w:right w:val="single" w:color="000000" w:sz="4" w:space="0"/>
            </w:tcBorders>
            <w:noWrap w:val="0"/>
            <w:vAlign w:val="top"/>
          </w:tcPr>
          <w:p w14:paraId="2E2D8B77">
            <w:pPr>
              <w:pStyle w:val="3"/>
              <w:spacing w:before="0" w:line="380" w:lineRule="exact"/>
              <w:ind w:left="0" w:leftChars="0" w:firstLine="0" w:firstLineChars="0"/>
              <w:jc w:val="center"/>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w:t>
            </w:r>
          </w:p>
        </w:tc>
        <w:tc>
          <w:tcPr>
            <w:tcW w:w="1467" w:type="dxa"/>
            <w:tcBorders>
              <w:top w:val="single" w:color="000000" w:sz="4" w:space="0"/>
              <w:left w:val="single" w:color="000000" w:sz="4" w:space="0"/>
              <w:bottom w:val="single" w:color="000000" w:sz="4" w:space="0"/>
              <w:right w:val="single" w:color="000000" w:sz="4" w:space="0"/>
            </w:tcBorders>
            <w:noWrap w:val="0"/>
            <w:vAlign w:val="top"/>
          </w:tcPr>
          <w:p w14:paraId="4B69F91A">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电动单梁起重机</w:t>
            </w:r>
          </w:p>
        </w:tc>
        <w:tc>
          <w:tcPr>
            <w:tcW w:w="1187" w:type="dxa"/>
            <w:tcBorders>
              <w:top w:val="single" w:color="000000" w:sz="4" w:space="0"/>
              <w:left w:val="single" w:color="000000" w:sz="4" w:space="0"/>
              <w:bottom w:val="single" w:color="000000" w:sz="4" w:space="0"/>
              <w:right w:val="single" w:color="000000" w:sz="4" w:space="0"/>
            </w:tcBorders>
            <w:noWrap w:val="0"/>
            <w:vAlign w:val="top"/>
          </w:tcPr>
          <w:p w14:paraId="1091DDE1">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一期电解二线</w:t>
            </w:r>
          </w:p>
        </w:tc>
        <w:tc>
          <w:tcPr>
            <w:tcW w:w="1540" w:type="dxa"/>
            <w:tcBorders>
              <w:top w:val="single" w:color="000000" w:sz="4" w:space="0"/>
              <w:left w:val="single" w:color="000000" w:sz="4" w:space="0"/>
              <w:bottom w:val="single" w:color="000000" w:sz="4" w:space="0"/>
              <w:right w:val="single" w:color="000000" w:sz="4" w:space="0"/>
            </w:tcBorders>
            <w:noWrap w:val="0"/>
            <w:vAlign w:val="top"/>
          </w:tcPr>
          <w:p w14:paraId="53CA3822">
            <w:pPr>
              <w:pStyle w:val="3"/>
              <w:spacing w:before="0" w:line="380" w:lineRule="exact"/>
              <w:ind w:left="0" w:leftChars="0" w:firstLine="0" w:firstLineChars="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LDE3-</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15.15</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m</w:t>
            </w:r>
          </w:p>
        </w:tc>
        <w:tc>
          <w:tcPr>
            <w:tcW w:w="1298" w:type="dxa"/>
            <w:tcBorders>
              <w:top w:val="single" w:color="000000" w:sz="4" w:space="0"/>
              <w:left w:val="single" w:color="000000" w:sz="4" w:space="0"/>
              <w:bottom w:val="single" w:color="000000" w:sz="4" w:space="0"/>
              <w:right w:val="single" w:color="000000" w:sz="4" w:space="0"/>
            </w:tcBorders>
            <w:noWrap w:val="0"/>
            <w:vAlign w:val="top"/>
          </w:tcPr>
          <w:p w14:paraId="418099D9">
            <w:pPr>
              <w:pStyle w:val="3"/>
              <w:spacing w:before="0" w:line="380" w:lineRule="exact"/>
              <w:ind w:left="440" w:leftChars="200"/>
              <w:rPr>
                <w:rFonts w:hint="eastAsia"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w:t>
            </w:r>
          </w:p>
        </w:tc>
        <w:tc>
          <w:tcPr>
            <w:tcW w:w="3173" w:type="dxa"/>
            <w:tcBorders>
              <w:top w:val="single" w:color="000000" w:sz="4" w:space="0"/>
              <w:left w:val="single" w:color="000000" w:sz="4" w:space="0"/>
              <w:bottom w:val="single" w:color="000000" w:sz="4" w:space="0"/>
            </w:tcBorders>
            <w:noWrap w:val="0"/>
            <w:vAlign w:val="top"/>
          </w:tcPr>
          <w:p w14:paraId="6003BE59">
            <w:pPr>
              <w:pStyle w:val="3"/>
              <w:spacing w:before="0" w:line="380" w:lineRule="exact"/>
              <w:ind w:left="0" w:leftChars="0" w:firstLine="0" w:firstLineChars="0"/>
              <w:rPr>
                <w:rFonts w:hint="default" w:cs="Arial"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2台</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电动单梁起重机同轨道，</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轨道24KG/m</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大车行程30米，提升高度6米；</w:t>
            </w:r>
          </w:p>
        </w:tc>
      </w:tr>
      <w:tr w14:paraId="1D16CF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8" w:hRule="atLeast"/>
        </w:trPr>
        <w:tc>
          <w:tcPr>
            <w:tcW w:w="704" w:type="dxa"/>
            <w:tcBorders>
              <w:top w:val="single" w:color="000000" w:sz="4" w:space="0"/>
              <w:right w:val="single" w:color="000000" w:sz="4" w:space="0"/>
            </w:tcBorders>
            <w:noWrap w:val="0"/>
            <w:vAlign w:val="top"/>
          </w:tcPr>
          <w:p w14:paraId="2CD9D137">
            <w:pPr>
              <w:pStyle w:val="3"/>
              <w:spacing w:before="0" w:line="380" w:lineRule="exact"/>
              <w:ind w:left="440" w:leftChars="200"/>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pPr>
          </w:p>
        </w:tc>
        <w:tc>
          <w:tcPr>
            <w:tcW w:w="1467" w:type="dxa"/>
            <w:tcBorders>
              <w:top w:val="single" w:color="000000" w:sz="4" w:space="0"/>
              <w:left w:val="single" w:color="000000" w:sz="4" w:space="0"/>
              <w:right w:val="single" w:color="000000" w:sz="4" w:space="0"/>
            </w:tcBorders>
            <w:noWrap w:val="0"/>
            <w:vAlign w:val="top"/>
          </w:tcPr>
          <w:p w14:paraId="115C7CF2">
            <w:pPr>
              <w:pStyle w:val="3"/>
              <w:spacing w:before="0" w:line="380" w:lineRule="exact"/>
              <w:ind w:left="440" w:leftChars="200"/>
              <w:rPr>
                <w:rFonts w:hint="eastAsia" w:cs="Arial" w:asciiTheme="minorEastAsia" w:hAnsiTheme="minorEastAsia" w:eastAsiaTheme="minorEastAsia"/>
                <w:color w:val="000000" w:themeColor="text1"/>
                <w:sz w:val="21"/>
                <w:szCs w:val="21"/>
                <w:lang w:eastAsia="zh-CN"/>
                <w14:textFill>
                  <w14:solidFill>
                    <w14:schemeClr w14:val="tx1"/>
                  </w14:solidFill>
                </w14:textFill>
              </w:rPr>
            </w:pPr>
          </w:p>
        </w:tc>
        <w:tc>
          <w:tcPr>
            <w:tcW w:w="1187" w:type="dxa"/>
            <w:tcBorders>
              <w:top w:val="single" w:color="000000" w:sz="4" w:space="0"/>
              <w:left w:val="single" w:color="000000" w:sz="4" w:space="0"/>
              <w:right w:val="single" w:color="000000" w:sz="4" w:space="0"/>
            </w:tcBorders>
            <w:noWrap w:val="0"/>
            <w:vAlign w:val="top"/>
          </w:tcPr>
          <w:p w14:paraId="4F450D3E">
            <w:pPr>
              <w:pStyle w:val="3"/>
              <w:spacing w:before="0" w:line="380" w:lineRule="exact"/>
              <w:ind w:left="440" w:leftChars="200"/>
              <w:rPr>
                <w:rFonts w:hint="eastAsia" w:cs="Arial" w:asciiTheme="minorEastAsia" w:hAnsiTheme="minorEastAsia" w:eastAsiaTheme="minorEastAsia"/>
                <w:color w:val="000000" w:themeColor="text1"/>
                <w:sz w:val="21"/>
                <w:szCs w:val="21"/>
                <w:lang w:eastAsia="zh-CN"/>
                <w14:textFill>
                  <w14:solidFill>
                    <w14:schemeClr w14:val="tx1"/>
                  </w14:solidFill>
                </w14:textFill>
              </w:rPr>
            </w:pPr>
          </w:p>
        </w:tc>
        <w:tc>
          <w:tcPr>
            <w:tcW w:w="1540" w:type="dxa"/>
            <w:tcBorders>
              <w:top w:val="single" w:color="000000" w:sz="4" w:space="0"/>
              <w:left w:val="single" w:color="000000" w:sz="4" w:space="0"/>
              <w:right w:val="single" w:color="000000" w:sz="4" w:space="0"/>
            </w:tcBorders>
            <w:shd w:val="clear" w:color="auto" w:fill="auto"/>
            <w:noWrap w:val="0"/>
            <w:vAlign w:val="top"/>
          </w:tcPr>
          <w:p w14:paraId="507E282D">
            <w:pPr>
              <w:pStyle w:val="3"/>
              <w:spacing w:before="0" w:line="380" w:lineRule="exact"/>
              <w:ind w:left="440" w:leftChars="200"/>
              <w:rPr>
                <w:rFonts w:hint="eastAsia" w:cs="Arial" w:asciiTheme="minorEastAsia" w:hAnsiTheme="minorEastAsia" w:eastAsiaTheme="minorEastAsia"/>
                <w:color w:val="000000" w:themeColor="text1"/>
                <w:sz w:val="21"/>
                <w:szCs w:val="21"/>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共计</w:t>
            </w:r>
          </w:p>
        </w:tc>
        <w:tc>
          <w:tcPr>
            <w:tcW w:w="1298" w:type="dxa"/>
            <w:tcBorders>
              <w:top w:val="single" w:color="000000" w:sz="4" w:space="0"/>
              <w:left w:val="single" w:color="000000" w:sz="4" w:space="0"/>
              <w:right w:val="single" w:color="000000" w:sz="4" w:space="0"/>
            </w:tcBorders>
            <w:shd w:val="clear" w:color="auto" w:fill="auto"/>
            <w:noWrap w:val="0"/>
            <w:vAlign w:val="top"/>
          </w:tcPr>
          <w:p w14:paraId="24840F4D">
            <w:pPr>
              <w:pStyle w:val="3"/>
              <w:spacing w:before="0" w:line="380" w:lineRule="exact"/>
              <w:ind w:left="440" w:leftChars="200"/>
              <w:rPr>
                <w:rFonts w:hint="eastAsia" w:cs="Arial" w:asciiTheme="minorEastAsia" w:hAnsiTheme="minorEastAsia" w:eastAsiaTheme="minorEastAsia"/>
                <w:color w:val="000000" w:themeColor="text1"/>
                <w:sz w:val="21"/>
                <w:szCs w:val="21"/>
                <w:lang w:val="en-US" w:eastAsia="zh-CN" w:bidi="ar-SA"/>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w:t>
            </w:r>
          </w:p>
        </w:tc>
        <w:tc>
          <w:tcPr>
            <w:tcW w:w="3173" w:type="dxa"/>
            <w:tcBorders>
              <w:top w:val="single" w:color="000000" w:sz="4" w:space="0"/>
              <w:left w:val="single" w:color="000000" w:sz="4" w:space="0"/>
            </w:tcBorders>
            <w:noWrap w:val="0"/>
            <w:vAlign w:val="top"/>
          </w:tcPr>
          <w:p w14:paraId="215E8179">
            <w:pPr>
              <w:pStyle w:val="3"/>
              <w:spacing w:before="0" w:line="380" w:lineRule="exact"/>
              <w:ind w:left="440" w:leftChars="200"/>
              <w:rPr>
                <w:rFonts w:hint="eastAsia" w:cs="Arial" w:asciiTheme="minorEastAsia" w:hAnsiTheme="minorEastAsia" w:eastAsiaTheme="minorEastAsia"/>
                <w:color w:val="000000" w:themeColor="text1"/>
                <w:sz w:val="21"/>
                <w:szCs w:val="21"/>
                <w:lang w:eastAsia="zh-CN"/>
                <w14:textFill>
                  <w14:solidFill>
                    <w14:schemeClr w14:val="tx1"/>
                  </w14:solidFill>
                </w14:textFill>
              </w:rPr>
            </w:pPr>
          </w:p>
        </w:tc>
      </w:tr>
    </w:tbl>
    <w:p w14:paraId="4B6151C1">
      <w:pPr>
        <w:keepNext w:val="0"/>
        <w:keepLines w:val="0"/>
        <w:pageBreakBefore w:val="0"/>
        <w:widowControl w:val="0"/>
        <w:numPr>
          <w:ilvl w:val="0"/>
          <w:numId w:val="0"/>
        </w:numPr>
        <w:kinsoku/>
        <w:wordWrap/>
        <w:overflowPunct/>
        <w:topLinePunct w:val="0"/>
        <w:autoSpaceDE/>
        <w:autoSpaceDN/>
        <w:bidi w:val="0"/>
        <w:adjustRightInd/>
        <w:snapToGrid/>
        <w:spacing w:before="0" w:beforeLines="0" w:after="0" w:afterLines="0" w:line="480" w:lineRule="auto"/>
        <w:ind w:left="0" w:leftChars="0" w:right="0" w:rightChars="0" w:firstLine="0" w:firstLineChars="0"/>
        <w:jc w:val="both"/>
        <w:textAlignment w:val="auto"/>
        <w:outlineLvl w:val="9"/>
        <w:rPr>
          <w:rFonts w:hint="eastAsia"/>
          <w:sz w:val="24"/>
          <w:lang w:val="en-US" w:eastAsia="zh-CN"/>
        </w:rPr>
      </w:pPr>
      <w:r>
        <w:rPr>
          <w:rFonts w:hint="eastAsia"/>
          <w:sz w:val="24"/>
          <w:lang w:val="en-US" w:eastAsia="zh-CN"/>
        </w:rPr>
        <w:t xml:space="preserve">    供货范围：电动单梁起重机2台套，</w:t>
      </w:r>
    </w:p>
    <w:p w14:paraId="22B5333B">
      <w:pPr>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right="0" w:rightChars="0" w:firstLine="480" w:firstLineChars="200"/>
        <w:jc w:val="left"/>
        <w:textAlignment w:val="auto"/>
        <w:outlineLvl w:val="9"/>
        <w:rPr>
          <w:rFonts w:hint="eastAsia"/>
          <w:sz w:val="24"/>
          <w:lang w:val="en-US" w:eastAsia="zh-CN"/>
        </w:rPr>
      </w:pPr>
      <w:r>
        <w:rPr>
          <w:rFonts w:hint="eastAsia"/>
          <w:sz w:val="24"/>
          <w:lang w:val="en-US" w:eastAsia="zh-CN"/>
        </w:rPr>
        <w:t>具体供货范围：</w:t>
      </w:r>
    </w:p>
    <w:p w14:paraId="035BBD76">
      <w:pPr>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right="0" w:rightChars="0" w:firstLine="480" w:firstLineChars="200"/>
        <w:jc w:val="left"/>
        <w:textAlignment w:val="auto"/>
        <w:outlineLvl w:val="9"/>
        <w:rPr>
          <w:rFonts w:ascii="宋体" w:hAnsi="宋体"/>
          <w:sz w:val="24"/>
        </w:rPr>
      </w:pPr>
      <w:r>
        <w:rPr>
          <w:rFonts w:hint="eastAsia"/>
          <w:sz w:val="24"/>
          <w:lang w:val="en-US" w:eastAsia="zh-CN"/>
        </w:rPr>
        <w:t>1、</w:t>
      </w:r>
      <w:r>
        <w:rPr>
          <w:rFonts w:hint="eastAsia" w:ascii="宋体" w:hAnsi="宋体"/>
          <w:sz w:val="24"/>
        </w:rPr>
        <w:t>整机配置：自起重机集电器至</w:t>
      </w:r>
      <w:r>
        <w:rPr>
          <w:rFonts w:hint="eastAsia" w:ascii="宋体" w:hAnsi="宋体"/>
          <w:sz w:val="24"/>
          <w:lang w:val="en-US" w:eastAsia="zh-CN"/>
        </w:rPr>
        <w:t>绝缘</w:t>
      </w:r>
      <w:r>
        <w:rPr>
          <w:rFonts w:hint="eastAsia" w:ascii="宋体" w:hAnsi="宋体"/>
          <w:sz w:val="24"/>
        </w:rPr>
        <w:t>吊钩在内的全部</w:t>
      </w:r>
      <w:r>
        <w:rPr>
          <w:rFonts w:hint="eastAsia" w:ascii="宋体" w:hAnsi="宋体"/>
          <w:sz w:val="24"/>
          <w:lang w:eastAsia="zh-CN"/>
        </w:rPr>
        <w:t>，配备绝缘吊钩（</w:t>
      </w:r>
      <w:r>
        <w:rPr>
          <w:rFonts w:hint="eastAsia" w:ascii="宋体" w:hAnsi="宋体"/>
          <w:sz w:val="24"/>
          <w:lang w:val="en-US" w:eastAsia="zh-CN"/>
        </w:rPr>
        <w:t>含轨道及划槽</w:t>
      </w:r>
      <w:r>
        <w:rPr>
          <w:rFonts w:hint="eastAsia" w:ascii="宋体" w:hAnsi="宋体"/>
          <w:sz w:val="24"/>
          <w:lang w:eastAsia="zh-CN"/>
        </w:rPr>
        <w:t>）</w:t>
      </w:r>
      <w:r>
        <w:rPr>
          <w:rFonts w:hint="eastAsia" w:ascii="宋体" w:hAnsi="宋体"/>
          <w:sz w:val="24"/>
        </w:rPr>
        <w:t>；</w:t>
      </w:r>
    </w:p>
    <w:p w14:paraId="268442B7">
      <w:pPr>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right="0" w:rightChars="0" w:firstLine="480"/>
        <w:jc w:val="left"/>
        <w:textAlignment w:val="auto"/>
        <w:outlineLvl w:val="9"/>
        <w:rPr>
          <w:rFonts w:hint="eastAsia"/>
          <w:sz w:val="24"/>
        </w:rPr>
      </w:pPr>
      <w:r>
        <w:rPr>
          <w:rFonts w:hint="eastAsia" w:ascii="宋体" w:hAnsi="宋体"/>
          <w:sz w:val="24"/>
          <w:lang w:val="en-US" w:eastAsia="zh-CN"/>
        </w:rPr>
        <w:t>2、</w:t>
      </w:r>
      <w:r>
        <w:rPr>
          <w:rFonts w:hint="eastAsia" w:ascii="宋体" w:hAnsi="宋体"/>
          <w:sz w:val="24"/>
        </w:rPr>
        <w:t>含运输费、安装调试费、增值税费、工程所在地质量技术部门检验检测费等所有费用。</w:t>
      </w:r>
      <w:r>
        <w:rPr>
          <w:rFonts w:hint="eastAsia"/>
          <w:sz w:val="24"/>
        </w:rPr>
        <w:t>　</w:t>
      </w:r>
    </w:p>
    <w:p w14:paraId="6DD111FA">
      <w:pPr>
        <w:pStyle w:val="3"/>
        <w:spacing w:before="0" w:line="380" w:lineRule="exact"/>
        <w:ind w:left="0"/>
        <w:rPr>
          <w:rFonts w:cs="Arial" w:asciiTheme="minorEastAsia" w:hAnsiTheme="minorEastAsia" w:eastAsiaTheme="minorEastAsia"/>
          <w:b/>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b/>
          <w:color w:val="000000" w:themeColor="text1"/>
          <w:sz w:val="21"/>
          <w:szCs w:val="21"/>
          <w:lang w:val="en-US" w:eastAsia="zh-CN"/>
          <w14:textFill>
            <w14:solidFill>
              <w14:schemeClr w14:val="tx1"/>
            </w14:solidFill>
          </w14:textFill>
        </w:rPr>
        <w:t>四</w:t>
      </w:r>
      <w:r>
        <w:rPr>
          <w:rFonts w:cs="Arial" w:asciiTheme="minorEastAsia" w:hAnsiTheme="minorEastAsia" w:eastAsiaTheme="minorEastAsia"/>
          <w:b/>
          <w:color w:val="000000" w:themeColor="text1"/>
          <w:sz w:val="21"/>
          <w:szCs w:val="21"/>
          <w:lang w:eastAsia="zh-CN"/>
          <w14:textFill>
            <w14:solidFill>
              <w14:schemeClr w14:val="tx1"/>
            </w14:solidFill>
          </w14:textFill>
        </w:rPr>
        <w:t>、电动单梁起重机选型及参数</w:t>
      </w:r>
    </w:p>
    <w:p w14:paraId="0A3754C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bookmarkStart w:id="1" w:name="20150522_175304_009"/>
      <w:bookmarkEnd w:id="1"/>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4</w:t>
      </w:r>
      <w:r>
        <w:rPr>
          <w:rFonts w:cs="Arial" w:asciiTheme="minorEastAsia" w:hAnsiTheme="minorEastAsia" w:eastAsiaTheme="minorEastAsia"/>
          <w:color w:val="000000" w:themeColor="text1"/>
          <w:sz w:val="21"/>
          <w:szCs w:val="21"/>
          <w:lang w:eastAsia="zh-CN"/>
          <w14:textFill>
            <w14:solidFill>
              <w14:schemeClr w14:val="tx1"/>
            </w14:solidFill>
          </w14:textFill>
        </w:rPr>
        <w:t>.1 电动单梁起重机的选型表</w:t>
      </w:r>
    </w:p>
    <w:tbl>
      <w:tblPr>
        <w:tblStyle w:val="8"/>
        <w:tblW w:w="9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2"/>
        <w:gridCol w:w="1985"/>
        <w:gridCol w:w="5103"/>
        <w:gridCol w:w="1417"/>
      </w:tblGrid>
      <w:tr w14:paraId="67F5A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967923C">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序号</w:t>
            </w:r>
          </w:p>
        </w:tc>
        <w:tc>
          <w:tcPr>
            <w:tcW w:w="1985" w:type="dxa"/>
            <w:vAlign w:val="center"/>
          </w:tcPr>
          <w:p w14:paraId="7F817B01">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规格型号</w:t>
            </w:r>
          </w:p>
        </w:tc>
        <w:tc>
          <w:tcPr>
            <w:tcW w:w="5103" w:type="dxa"/>
            <w:vAlign w:val="center"/>
          </w:tcPr>
          <w:p w14:paraId="3A0A209B">
            <w:pPr>
              <w:pStyle w:val="3"/>
              <w:widowControl/>
              <w:spacing w:before="0" w:line="380" w:lineRule="exact"/>
              <w:ind w:left="0"/>
              <w:jc w:val="both"/>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LDE3-</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15.15</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m</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，H=</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6</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m，</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额定起重量3T。</w:t>
            </w:r>
          </w:p>
        </w:tc>
        <w:tc>
          <w:tcPr>
            <w:tcW w:w="1417" w:type="dxa"/>
          </w:tcPr>
          <w:p w14:paraId="52079927">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备注</w:t>
            </w:r>
          </w:p>
        </w:tc>
      </w:tr>
      <w:tr w14:paraId="7340D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4809A301">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1</w:t>
            </w:r>
          </w:p>
        </w:tc>
        <w:tc>
          <w:tcPr>
            <w:tcW w:w="1985" w:type="dxa"/>
            <w:vAlign w:val="center"/>
          </w:tcPr>
          <w:p w14:paraId="0D9E3517">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数量/台</w:t>
            </w:r>
          </w:p>
        </w:tc>
        <w:tc>
          <w:tcPr>
            <w:tcW w:w="5103" w:type="dxa"/>
            <w:vAlign w:val="center"/>
          </w:tcPr>
          <w:p w14:paraId="469DE567">
            <w:pPr>
              <w:pStyle w:val="3"/>
              <w:widowControl/>
              <w:spacing w:before="0" w:line="380" w:lineRule="exact"/>
              <w:ind w:left="0"/>
              <w:jc w:val="both"/>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2台。</w:t>
            </w:r>
          </w:p>
        </w:tc>
        <w:tc>
          <w:tcPr>
            <w:tcW w:w="1417" w:type="dxa"/>
          </w:tcPr>
          <w:p w14:paraId="3A5B54A9">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2C918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E68FBF4">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2</w:t>
            </w:r>
          </w:p>
        </w:tc>
        <w:tc>
          <w:tcPr>
            <w:tcW w:w="1985" w:type="dxa"/>
            <w:vAlign w:val="center"/>
          </w:tcPr>
          <w:p w14:paraId="65880899">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工作级别</w:t>
            </w:r>
          </w:p>
        </w:tc>
        <w:tc>
          <w:tcPr>
            <w:tcW w:w="5103" w:type="dxa"/>
            <w:vAlign w:val="center"/>
          </w:tcPr>
          <w:p w14:paraId="747D376D">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A</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3</w:t>
            </w:r>
          </w:p>
        </w:tc>
        <w:tc>
          <w:tcPr>
            <w:tcW w:w="1417" w:type="dxa"/>
          </w:tcPr>
          <w:p w14:paraId="2FFF94DE">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1267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8D4A13B">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3</w:t>
            </w:r>
          </w:p>
        </w:tc>
        <w:tc>
          <w:tcPr>
            <w:tcW w:w="1985" w:type="dxa"/>
            <w:vAlign w:val="center"/>
          </w:tcPr>
          <w:p w14:paraId="1E8E6B1D">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防护等级</w:t>
            </w:r>
          </w:p>
        </w:tc>
        <w:tc>
          <w:tcPr>
            <w:tcW w:w="5103" w:type="dxa"/>
            <w:vAlign w:val="center"/>
          </w:tcPr>
          <w:p w14:paraId="5D75B683">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电气箱、电控箱 Ip5</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4</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，电动机IP5</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4</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H</w:t>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w:t>
            </w:r>
          </w:p>
        </w:tc>
        <w:tc>
          <w:tcPr>
            <w:tcW w:w="1417" w:type="dxa"/>
          </w:tcPr>
          <w:p w14:paraId="3CD8FFE3">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2E64C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D38312C">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4</w:t>
            </w:r>
          </w:p>
        </w:tc>
        <w:tc>
          <w:tcPr>
            <w:tcW w:w="1985" w:type="dxa"/>
            <w:vAlign w:val="center"/>
          </w:tcPr>
          <w:p w14:paraId="647FCF7F">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电气容量</w:t>
            </w:r>
          </w:p>
        </w:tc>
        <w:tc>
          <w:tcPr>
            <w:tcW w:w="5103" w:type="dxa"/>
            <w:vAlign w:val="center"/>
          </w:tcPr>
          <w:p w14:paraId="431A2D0A">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断路器：C32N3D63</w:t>
            </w:r>
            <w:r>
              <w:rPr>
                <w:rFonts w:cs="Arial" w:asciiTheme="minorEastAsia" w:hAnsiTheme="minorEastAsia" w:eastAsiaTheme="minorEastAsia"/>
                <w:color w:val="000000" w:themeColor="text1"/>
                <w:kern w:val="2"/>
                <w:sz w:val="21"/>
                <w:szCs w:val="21"/>
                <w:lang w:eastAsia="zh-CN"/>
                <w14:textFill>
                  <w14:solidFill>
                    <w14:schemeClr w14:val="tx1"/>
                  </w14:solidFill>
                </w14:textFill>
              </w:rPr>
              <w:br w:type="textWrapping"/>
            </w: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总接触器：LC1-E5011</w:t>
            </w:r>
          </w:p>
          <w:p w14:paraId="473F16E5">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大车接触器：LC1-E2501</w:t>
            </w:r>
          </w:p>
          <w:p w14:paraId="21526476">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变压器：BK-150VA</w:t>
            </w:r>
          </w:p>
        </w:tc>
        <w:tc>
          <w:tcPr>
            <w:tcW w:w="1417" w:type="dxa"/>
          </w:tcPr>
          <w:p w14:paraId="1D59DD6A">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4C765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A9ADB0A">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5</w:t>
            </w:r>
          </w:p>
        </w:tc>
        <w:tc>
          <w:tcPr>
            <w:tcW w:w="1985" w:type="dxa"/>
            <w:vAlign w:val="center"/>
          </w:tcPr>
          <w:p w14:paraId="07293ECE">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电动葫芦</w:t>
            </w:r>
          </w:p>
        </w:tc>
        <w:tc>
          <w:tcPr>
            <w:tcW w:w="5103" w:type="dxa"/>
            <w:vAlign w:val="center"/>
          </w:tcPr>
          <w:p w14:paraId="1ECB7F9E">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电动葫芦。</w:t>
            </w:r>
          </w:p>
        </w:tc>
        <w:tc>
          <w:tcPr>
            <w:tcW w:w="1417" w:type="dxa"/>
          </w:tcPr>
          <w:p w14:paraId="486330C1">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0697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3FEFFE13">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6</w:t>
            </w:r>
          </w:p>
        </w:tc>
        <w:tc>
          <w:tcPr>
            <w:tcW w:w="1985" w:type="dxa"/>
            <w:vAlign w:val="center"/>
          </w:tcPr>
          <w:p w14:paraId="48E99685">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钢丝绳抗拉强度</w:t>
            </w:r>
          </w:p>
        </w:tc>
        <w:tc>
          <w:tcPr>
            <w:tcW w:w="5103" w:type="dxa"/>
            <w:vAlign w:val="center"/>
          </w:tcPr>
          <w:p w14:paraId="7BEC0742">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质量证明书上注明1770MPa。</w:t>
            </w:r>
          </w:p>
        </w:tc>
        <w:tc>
          <w:tcPr>
            <w:tcW w:w="1417" w:type="dxa"/>
          </w:tcPr>
          <w:p w14:paraId="343943F6">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28365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1711999D">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7</w:t>
            </w:r>
          </w:p>
        </w:tc>
        <w:tc>
          <w:tcPr>
            <w:tcW w:w="1985" w:type="dxa"/>
            <w:vAlign w:val="center"/>
          </w:tcPr>
          <w:p w14:paraId="332710C5">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钢丝绳</w:t>
            </w:r>
          </w:p>
        </w:tc>
        <w:tc>
          <w:tcPr>
            <w:tcW w:w="5103" w:type="dxa"/>
            <w:vAlign w:val="center"/>
          </w:tcPr>
          <w:p w14:paraId="3FDA88EE">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南通钢丝绳有限公司。</w:t>
            </w:r>
          </w:p>
        </w:tc>
        <w:tc>
          <w:tcPr>
            <w:tcW w:w="1417" w:type="dxa"/>
          </w:tcPr>
          <w:p w14:paraId="10D0C998">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5177C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3605C97">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8</w:t>
            </w:r>
          </w:p>
        </w:tc>
        <w:tc>
          <w:tcPr>
            <w:tcW w:w="1985" w:type="dxa"/>
            <w:vAlign w:val="center"/>
          </w:tcPr>
          <w:p w14:paraId="0D40AC8F">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主梁材质及刚度</w:t>
            </w:r>
          </w:p>
        </w:tc>
        <w:tc>
          <w:tcPr>
            <w:tcW w:w="5103" w:type="dxa"/>
            <w:vAlign w:val="center"/>
          </w:tcPr>
          <w:p w14:paraId="568593A4">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Q</w:t>
            </w: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235B</w:t>
            </w:r>
          </w:p>
        </w:tc>
        <w:tc>
          <w:tcPr>
            <w:tcW w:w="1417" w:type="dxa"/>
          </w:tcPr>
          <w:p w14:paraId="0F1F4687">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2F2E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3C79685">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9</w:t>
            </w:r>
          </w:p>
        </w:tc>
        <w:tc>
          <w:tcPr>
            <w:tcW w:w="1985" w:type="dxa"/>
            <w:vAlign w:val="center"/>
          </w:tcPr>
          <w:p w14:paraId="422892F8">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电器元件</w:t>
            </w:r>
          </w:p>
        </w:tc>
        <w:tc>
          <w:tcPr>
            <w:tcW w:w="5103" w:type="dxa"/>
            <w:vAlign w:val="center"/>
          </w:tcPr>
          <w:p w14:paraId="0DD31094">
            <w:pPr>
              <w:pStyle w:val="3"/>
              <w:widowControl/>
              <w:spacing w:before="0" w:line="380" w:lineRule="exact"/>
              <w:ind w:left="0"/>
              <w:jc w:val="both"/>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施耐德、西门子、常熟品牌</w:t>
            </w:r>
          </w:p>
        </w:tc>
        <w:tc>
          <w:tcPr>
            <w:tcW w:w="1417" w:type="dxa"/>
          </w:tcPr>
          <w:p w14:paraId="666631E0">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311A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D8422B0">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10</w:t>
            </w:r>
          </w:p>
        </w:tc>
        <w:tc>
          <w:tcPr>
            <w:tcW w:w="1985" w:type="dxa"/>
            <w:vAlign w:val="center"/>
          </w:tcPr>
          <w:p w14:paraId="3AA60817">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电缆质保</w:t>
            </w:r>
          </w:p>
        </w:tc>
        <w:tc>
          <w:tcPr>
            <w:tcW w:w="5103" w:type="dxa"/>
            <w:vAlign w:val="center"/>
          </w:tcPr>
          <w:p w14:paraId="2EAB96CA">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移动电缆3年，手柄电缆1年</w:t>
            </w:r>
          </w:p>
        </w:tc>
        <w:tc>
          <w:tcPr>
            <w:tcW w:w="1417" w:type="dxa"/>
          </w:tcPr>
          <w:p w14:paraId="49043D7D">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7993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235BE7F3">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11</w:t>
            </w:r>
          </w:p>
        </w:tc>
        <w:tc>
          <w:tcPr>
            <w:tcW w:w="1985" w:type="dxa"/>
            <w:vAlign w:val="center"/>
          </w:tcPr>
          <w:p w14:paraId="75EBA2E6">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电机</w:t>
            </w:r>
          </w:p>
        </w:tc>
        <w:tc>
          <w:tcPr>
            <w:tcW w:w="5103" w:type="dxa"/>
            <w:vAlign w:val="center"/>
          </w:tcPr>
          <w:p w14:paraId="039F3880">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南京特种电机厂</w:t>
            </w:r>
            <w:bookmarkStart w:id="8" w:name="_GoBack"/>
            <w:bookmarkEnd w:id="8"/>
          </w:p>
        </w:tc>
        <w:tc>
          <w:tcPr>
            <w:tcW w:w="1417" w:type="dxa"/>
          </w:tcPr>
          <w:p w14:paraId="75A1B2B1">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0A091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E0A6B4A">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12</w:t>
            </w:r>
          </w:p>
        </w:tc>
        <w:tc>
          <w:tcPr>
            <w:tcW w:w="1985" w:type="dxa"/>
            <w:vAlign w:val="center"/>
          </w:tcPr>
          <w:p w14:paraId="36D386AA">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遥控器</w:t>
            </w:r>
          </w:p>
        </w:tc>
        <w:tc>
          <w:tcPr>
            <w:tcW w:w="5103" w:type="dxa"/>
            <w:vAlign w:val="center"/>
          </w:tcPr>
          <w:p w14:paraId="1E28C178">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0"/>
                <w:sz w:val="21"/>
                <w:szCs w:val="21"/>
                <w:lang w:eastAsia="zh-CN"/>
                <w14:textFill>
                  <w14:solidFill>
                    <w14:schemeClr w14:val="tx1"/>
                  </w14:solidFill>
                </w14:textFill>
              </w:rPr>
              <w:t>台湾禹鼎</w:t>
            </w:r>
          </w:p>
        </w:tc>
        <w:tc>
          <w:tcPr>
            <w:tcW w:w="1417" w:type="dxa"/>
          </w:tcPr>
          <w:p w14:paraId="39C6EBC8">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0958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57C405F9">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13</w:t>
            </w:r>
          </w:p>
        </w:tc>
        <w:tc>
          <w:tcPr>
            <w:tcW w:w="1985" w:type="dxa"/>
            <w:vAlign w:val="center"/>
          </w:tcPr>
          <w:p w14:paraId="20AC1140">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滑触线</w:t>
            </w:r>
          </w:p>
        </w:tc>
        <w:tc>
          <w:tcPr>
            <w:tcW w:w="5103" w:type="dxa"/>
            <w:vAlign w:val="center"/>
          </w:tcPr>
          <w:p w14:paraId="2A9B2B6F">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采用双受电滑块，双继电器</w:t>
            </w:r>
          </w:p>
        </w:tc>
        <w:tc>
          <w:tcPr>
            <w:tcW w:w="1417" w:type="dxa"/>
          </w:tcPr>
          <w:p w14:paraId="2BBF7CDB">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2A862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797092E9">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14</w:t>
            </w:r>
          </w:p>
        </w:tc>
        <w:tc>
          <w:tcPr>
            <w:tcW w:w="1985" w:type="dxa"/>
            <w:vAlign w:val="center"/>
          </w:tcPr>
          <w:p w14:paraId="3A6C6CB0">
            <w:pPr>
              <w:pStyle w:val="3"/>
              <w:widowControl/>
              <w:spacing w:before="0" w:line="380" w:lineRule="exact"/>
              <w:ind w:left="0"/>
              <w:jc w:val="center"/>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其它</w:t>
            </w:r>
          </w:p>
        </w:tc>
        <w:tc>
          <w:tcPr>
            <w:tcW w:w="5103" w:type="dxa"/>
            <w:vAlign w:val="center"/>
          </w:tcPr>
          <w:p w14:paraId="1DCB1503">
            <w:pPr>
              <w:pStyle w:val="3"/>
              <w:widowControl/>
              <w:spacing w:before="0" w:line="380" w:lineRule="exact"/>
              <w:ind w:left="0"/>
              <w:jc w:val="both"/>
              <w:rPr>
                <w:rFonts w:cs="Arial" w:asciiTheme="minorEastAsia" w:hAnsiTheme="minorEastAsia" w:eastAsiaTheme="minorEastAsia"/>
                <w:color w:val="000000" w:themeColor="text1"/>
                <w:kern w:val="2"/>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eastAsia="zh-CN"/>
                <w14:textFill>
                  <w14:solidFill>
                    <w14:schemeClr w14:val="tx1"/>
                  </w14:solidFill>
                </w14:textFill>
              </w:rPr>
              <w:t>防撞装置采用光电开关加机械行程开关</w:t>
            </w:r>
          </w:p>
        </w:tc>
        <w:tc>
          <w:tcPr>
            <w:tcW w:w="1417" w:type="dxa"/>
          </w:tcPr>
          <w:p w14:paraId="28FBC290">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r w14:paraId="0588A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2" w:type="dxa"/>
            <w:vAlign w:val="center"/>
          </w:tcPr>
          <w:p w14:paraId="6CB10C80">
            <w:pPr>
              <w:pStyle w:val="3"/>
              <w:widowControl/>
              <w:spacing w:before="0" w:line="380" w:lineRule="exact"/>
              <w:ind w:left="0"/>
              <w:jc w:val="center"/>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15</w:t>
            </w:r>
          </w:p>
        </w:tc>
        <w:tc>
          <w:tcPr>
            <w:tcW w:w="1985" w:type="dxa"/>
            <w:vAlign w:val="center"/>
          </w:tcPr>
          <w:p w14:paraId="0F40925A">
            <w:pPr>
              <w:pStyle w:val="3"/>
              <w:widowControl/>
              <w:spacing w:before="0" w:line="380" w:lineRule="exact"/>
              <w:ind w:left="0"/>
              <w:jc w:val="center"/>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吊钩</w:t>
            </w:r>
          </w:p>
        </w:tc>
        <w:tc>
          <w:tcPr>
            <w:tcW w:w="5103" w:type="dxa"/>
            <w:vAlign w:val="center"/>
          </w:tcPr>
          <w:p w14:paraId="64F0719B">
            <w:pPr>
              <w:pStyle w:val="3"/>
              <w:widowControl/>
              <w:spacing w:before="0" w:line="380" w:lineRule="exact"/>
              <w:ind w:left="0"/>
              <w:jc w:val="both"/>
              <w:rPr>
                <w:rFonts w:hint="default" w:cs="Arial" w:asciiTheme="minorEastAsia" w:hAnsiTheme="minorEastAsia" w:eastAsiaTheme="minorEastAsia"/>
                <w:color w:val="000000" w:themeColor="text1"/>
                <w:kern w:val="2"/>
                <w:sz w:val="21"/>
                <w:szCs w:val="21"/>
                <w:lang w:val="en-US" w:eastAsia="zh-CN"/>
                <w14:textFill>
                  <w14:solidFill>
                    <w14:schemeClr w14:val="tx1"/>
                  </w14:solidFill>
                </w14:textFill>
              </w:rPr>
            </w:pPr>
            <w:r>
              <w:rPr>
                <w:rFonts w:hint="eastAsia" w:cs="Arial" w:asciiTheme="minorEastAsia" w:hAnsiTheme="minorEastAsia" w:eastAsiaTheme="minorEastAsia"/>
                <w:color w:val="000000" w:themeColor="text1"/>
                <w:kern w:val="2"/>
                <w:sz w:val="21"/>
                <w:szCs w:val="21"/>
                <w:lang w:val="en-US" w:eastAsia="zh-CN"/>
                <w14:textFill>
                  <w14:solidFill>
                    <w14:schemeClr w14:val="tx1"/>
                  </w14:solidFill>
                </w14:textFill>
              </w:rPr>
              <w:t>采用普通吊钩</w:t>
            </w:r>
          </w:p>
        </w:tc>
        <w:tc>
          <w:tcPr>
            <w:tcW w:w="1417" w:type="dxa"/>
          </w:tcPr>
          <w:p w14:paraId="63F7BABA">
            <w:pPr>
              <w:pStyle w:val="3"/>
              <w:widowControl/>
              <w:spacing w:before="0" w:line="380" w:lineRule="exact"/>
              <w:ind w:left="0"/>
              <w:rPr>
                <w:rFonts w:cs="Arial" w:asciiTheme="minorEastAsia" w:hAnsiTheme="minorEastAsia" w:eastAsiaTheme="minorEastAsia"/>
                <w:color w:val="000000" w:themeColor="text1"/>
                <w:kern w:val="2"/>
                <w:sz w:val="21"/>
                <w:szCs w:val="21"/>
                <w:lang w:eastAsia="zh-CN"/>
                <w14:textFill>
                  <w14:solidFill>
                    <w14:schemeClr w14:val="tx1"/>
                  </w14:solidFill>
                </w14:textFill>
              </w:rPr>
            </w:pPr>
          </w:p>
        </w:tc>
      </w:tr>
    </w:tbl>
    <w:p w14:paraId="02E6FF98">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bookmarkStart w:id="2" w:name="20150522_175304_010"/>
      <w:bookmarkEnd w:id="2"/>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4</w:t>
      </w:r>
      <w:r>
        <w:rPr>
          <w:rFonts w:cs="Arial" w:asciiTheme="minorEastAsia" w:hAnsiTheme="minorEastAsia" w:eastAsiaTheme="minorEastAsia"/>
          <w:color w:val="000000" w:themeColor="text1"/>
          <w:sz w:val="21"/>
          <w:szCs w:val="21"/>
          <w:lang w:eastAsia="zh-CN"/>
          <w14:textFill>
            <w14:solidFill>
              <w14:schemeClr w14:val="tx1"/>
            </w14:solidFill>
          </w14:textFill>
        </w:rPr>
        <w:t>.2  电动单梁起重机的技术要求</w:t>
      </w:r>
    </w:p>
    <w:p w14:paraId="74F315AC">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起重机的设计制造符合国家、行业有关标准和规范，起重机主要包括结构梁、传动机构</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电气设备、保护装置等。</w:t>
      </w:r>
    </w:p>
    <w:p w14:paraId="4FF2BF9F">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w:t>
      </w:r>
      <w:r>
        <w:rPr>
          <w:rFonts w:cs="Arial" w:asciiTheme="minorEastAsia" w:hAnsiTheme="minorEastAsia" w:eastAsiaTheme="minorEastAsia"/>
          <w:color w:val="000000" w:themeColor="text1"/>
          <w:sz w:val="21"/>
          <w:szCs w:val="21"/>
          <w:lang w:eastAsia="zh-CN"/>
          <w14:textFill>
            <w14:solidFill>
              <w14:schemeClr w14:val="tx1"/>
            </w14:solidFill>
          </w14:textFill>
        </w:rPr>
        <w:t>、起重机结构梁要有足够的强度</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刚度，传动机构工作安全、平稳、可靠，机构的震动</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跳动</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噪音等符合国家标准的规定。 </w:t>
      </w:r>
    </w:p>
    <w:p w14:paraId="695578E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3</w:t>
      </w:r>
      <w:r>
        <w:rPr>
          <w:rFonts w:cs="Arial" w:asciiTheme="minorEastAsia" w:hAnsiTheme="minorEastAsia" w:eastAsiaTheme="minorEastAsia"/>
          <w:color w:val="000000" w:themeColor="text1"/>
          <w:sz w:val="21"/>
          <w:szCs w:val="21"/>
          <w:lang w:eastAsia="zh-CN"/>
          <w14:textFill>
            <w14:solidFill>
              <w14:schemeClr w14:val="tx1"/>
            </w14:solidFill>
          </w14:textFill>
        </w:rPr>
        <w:t>、起重机的材料符合有关标准的规定，</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应向</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提供大梁及主要零部件的材质规范说明。</w:t>
      </w:r>
    </w:p>
    <w:p w14:paraId="58CFED21">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4</w:t>
      </w:r>
      <w:r>
        <w:rPr>
          <w:rFonts w:cs="Arial" w:asciiTheme="minorEastAsia" w:hAnsiTheme="minorEastAsia" w:eastAsiaTheme="minorEastAsia"/>
          <w:color w:val="000000" w:themeColor="text1"/>
          <w:sz w:val="21"/>
          <w:szCs w:val="21"/>
          <w:lang w:eastAsia="zh-CN"/>
          <w14:textFill>
            <w14:solidFill>
              <w14:schemeClr w14:val="tx1"/>
            </w14:solidFill>
          </w14:textFill>
        </w:rPr>
        <w:t>、电气系统由主回路系统和控制系统组成，主要的零部件、仪器仪表提供质量合格证，确保各系统工作可靠、操作灵活，各种电气联锁和安全保护安全。</w:t>
      </w:r>
    </w:p>
    <w:p w14:paraId="53978ED4">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5</w:t>
      </w:r>
      <w:r>
        <w:rPr>
          <w:rFonts w:cs="Arial" w:asciiTheme="minorEastAsia" w:hAnsiTheme="minorEastAsia" w:eastAsiaTheme="minorEastAsia"/>
          <w:color w:val="000000" w:themeColor="text1"/>
          <w:sz w:val="21"/>
          <w:szCs w:val="21"/>
          <w:lang w:eastAsia="zh-CN"/>
          <w14:textFill>
            <w14:solidFill>
              <w14:schemeClr w14:val="tx1"/>
            </w14:solidFill>
          </w14:textFill>
        </w:rPr>
        <w:t>、起升机构的高度有起升限位开关控制。</w:t>
      </w:r>
    </w:p>
    <w:p w14:paraId="3C991D32">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6</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单梁起重机大、小车行走机构端部设有缓冲装置及红外线防撞装置，且设置端点限位保护装置。</w:t>
      </w:r>
    </w:p>
    <w:p w14:paraId="6AA6B773">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7</w:t>
      </w:r>
      <w:r>
        <w:rPr>
          <w:rFonts w:cs="Arial" w:asciiTheme="minorEastAsia" w:hAnsiTheme="minorEastAsia" w:eastAsiaTheme="minorEastAsia"/>
          <w:color w:val="000000" w:themeColor="text1"/>
          <w:sz w:val="21"/>
          <w:szCs w:val="21"/>
          <w:lang w:eastAsia="zh-CN"/>
          <w14:textFill>
            <w14:solidFill>
              <w14:schemeClr w14:val="tx1"/>
            </w14:solidFill>
          </w14:textFill>
        </w:rPr>
        <w:t>、起重机要带有失压保护和超载保护功能。</w:t>
      </w:r>
    </w:p>
    <w:p w14:paraId="1DCD31D0">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8</w:t>
      </w:r>
      <w:r>
        <w:rPr>
          <w:rFonts w:cs="Arial" w:asciiTheme="minorEastAsia" w:hAnsiTheme="minorEastAsia" w:eastAsiaTheme="minorEastAsia"/>
          <w:color w:val="000000" w:themeColor="text1"/>
          <w:sz w:val="21"/>
          <w:szCs w:val="21"/>
          <w:lang w:eastAsia="zh-CN"/>
          <w14:textFill>
            <w14:solidFill>
              <w14:schemeClr w14:val="tx1"/>
            </w14:solidFill>
          </w14:textFill>
        </w:rPr>
        <w:t>、起重机在起升、运行过程中应安全、平稳、可靠；电气控制系统应设置安全联锁功能 。</w:t>
      </w:r>
    </w:p>
    <w:p w14:paraId="07D022FF">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9</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、大车运行速度 </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3</w:t>
      </w:r>
      <w:r>
        <w:rPr>
          <w:rFonts w:cs="Arial" w:asciiTheme="minorEastAsia" w:hAnsiTheme="minorEastAsia" w:eastAsiaTheme="minorEastAsia"/>
          <w:color w:val="000000" w:themeColor="text1"/>
          <w:sz w:val="21"/>
          <w:szCs w:val="21"/>
          <w:lang w:eastAsia="zh-CN"/>
          <w14:textFill>
            <w14:solidFill>
              <w14:schemeClr w14:val="tx1"/>
            </w14:solidFill>
          </w14:textFill>
        </w:rPr>
        <w:t>0m/min ，小车运行速度 20m/min ，起升速度</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8m/min。</w:t>
      </w:r>
    </w:p>
    <w:p w14:paraId="3079A403">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10</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、必须</w:t>
      </w:r>
      <w:r>
        <w:rPr>
          <w:rFonts w:cs="Arial" w:asciiTheme="minorEastAsia" w:hAnsiTheme="minorEastAsia" w:eastAsiaTheme="minorEastAsia"/>
          <w:color w:val="000000" w:themeColor="text1"/>
          <w:sz w:val="21"/>
          <w:szCs w:val="21"/>
          <w:lang w:eastAsia="zh-CN"/>
          <w14:textFill>
            <w14:solidFill>
              <w14:schemeClr w14:val="tx1"/>
            </w14:solidFill>
          </w14:textFill>
        </w:rPr>
        <w:t>设有缓冲器和极限位置限位器 ，两车的</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间</w:t>
      </w:r>
      <w:r>
        <w:rPr>
          <w:rFonts w:cs="Arial" w:asciiTheme="minorEastAsia" w:hAnsiTheme="minorEastAsia" w:eastAsiaTheme="minorEastAsia"/>
          <w:color w:val="000000" w:themeColor="text1"/>
          <w:sz w:val="21"/>
          <w:szCs w:val="21"/>
          <w:lang w:eastAsia="zh-CN"/>
          <w14:textFill>
            <w14:solidFill>
              <w14:schemeClr w14:val="tx1"/>
            </w14:solidFill>
          </w14:textFill>
        </w:rPr>
        <w:t>距极限距离为 lOOOmm。</w:t>
      </w:r>
    </w:p>
    <w:p w14:paraId="0B06E9A4">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、因车间使用环境中有水蒸汽、酸雾等腐蚀性气体，要求起重机的油漆必须具备耐腐蚀性</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耐锈蚀性能。</w:t>
      </w:r>
    </w:p>
    <w:p w14:paraId="0636C05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w:t>
      </w:r>
      <w:r>
        <w:rPr>
          <w:rFonts w:cs="Arial" w:asciiTheme="minorEastAsia" w:hAnsiTheme="minorEastAsia" w:eastAsiaTheme="minorEastAsia"/>
          <w:color w:val="000000" w:themeColor="text1"/>
          <w:sz w:val="21"/>
          <w:szCs w:val="21"/>
          <w:lang w:eastAsia="zh-CN"/>
          <w14:textFill>
            <w14:solidFill>
              <w14:schemeClr w14:val="tx1"/>
            </w14:solidFill>
          </w14:textFill>
        </w:rPr>
        <w:t>、使用电源：三相交流电 380V</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50HZ，控制电源36V</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50HZ</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24F5CFB4">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3</w:t>
      </w:r>
      <w:r>
        <w:rPr>
          <w:rFonts w:cs="Arial" w:asciiTheme="minorEastAsia" w:hAnsiTheme="minorEastAsia" w:eastAsiaTheme="minorEastAsia"/>
          <w:color w:val="000000" w:themeColor="text1"/>
          <w:sz w:val="21"/>
          <w:szCs w:val="21"/>
          <w:lang w:eastAsia="zh-CN"/>
          <w14:textFill>
            <w14:solidFill>
              <w14:schemeClr w14:val="tx1"/>
            </w14:solidFill>
          </w14:textFill>
        </w:rPr>
        <w:t>、行车需具备电源缺相、过压、错相保护功能。</w:t>
      </w:r>
    </w:p>
    <w:p w14:paraId="60124F5E">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4</w:t>
      </w:r>
      <w:r>
        <w:rPr>
          <w:rFonts w:cs="Arial" w:asciiTheme="minorEastAsia" w:hAnsiTheme="minorEastAsia" w:eastAsiaTheme="minorEastAsia"/>
          <w:color w:val="000000" w:themeColor="text1"/>
          <w:sz w:val="21"/>
          <w:szCs w:val="21"/>
          <w:lang w:eastAsia="zh-CN"/>
          <w14:textFill>
            <w14:solidFill>
              <w14:schemeClr w14:val="tx1"/>
            </w14:solidFill>
          </w14:textFill>
        </w:rPr>
        <w:t>、具备完善的电动机过载、缺相故障保护功能，同时各电机都必须具备紧急停车功能</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在非常条件下，操作工可快速实现紧急停车。</w:t>
      </w:r>
    </w:p>
    <w:p w14:paraId="63422F22">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5</w:t>
      </w:r>
      <w:r>
        <w:rPr>
          <w:rFonts w:cs="Arial" w:asciiTheme="minorEastAsia" w:hAnsiTheme="minorEastAsia" w:eastAsiaTheme="minorEastAsia"/>
          <w:color w:val="000000" w:themeColor="text1"/>
          <w:sz w:val="21"/>
          <w:szCs w:val="21"/>
          <w:lang w:eastAsia="zh-CN"/>
          <w14:textFill>
            <w14:solidFill>
              <w14:schemeClr w14:val="tx1"/>
            </w14:solidFill>
          </w14:textFill>
        </w:rPr>
        <w:t>、行车具有超重报警、保护功能，超重参数可修改；其行程具有上、下行程限位（断电限位）及重锤上限位保护功能。</w:t>
      </w:r>
    </w:p>
    <w:p w14:paraId="691B1FEC">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6</w:t>
      </w:r>
      <w:r>
        <w:rPr>
          <w:rFonts w:cs="Arial" w:asciiTheme="minorEastAsia" w:hAnsiTheme="minorEastAsia" w:eastAsiaTheme="minorEastAsia"/>
          <w:color w:val="000000" w:themeColor="text1"/>
          <w:sz w:val="21"/>
          <w:szCs w:val="21"/>
          <w:lang w:eastAsia="zh-CN"/>
          <w14:textFill>
            <w14:solidFill>
              <w14:schemeClr w14:val="tx1"/>
            </w14:solidFill>
          </w14:textFill>
        </w:rPr>
        <w:t>、大车、小车采用红外防撞装置，具有可关闭防撞装置功能。</w:t>
      </w:r>
    </w:p>
    <w:p w14:paraId="5A4F5EA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bookmarkStart w:id="3" w:name="20150522_175304_011"/>
      <w:bookmarkEnd w:id="3"/>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17</w:t>
      </w:r>
      <w:r>
        <w:rPr>
          <w:rFonts w:cs="Arial" w:asciiTheme="minorEastAsia" w:hAnsiTheme="minorEastAsia" w:eastAsiaTheme="minorEastAsia"/>
          <w:color w:val="000000" w:themeColor="text1"/>
          <w:sz w:val="21"/>
          <w:szCs w:val="21"/>
          <w:lang w:eastAsia="zh-CN"/>
          <w14:textFill>
            <w14:solidFill>
              <w14:schemeClr w14:val="tx1"/>
            </w14:solidFill>
          </w14:textFill>
        </w:rPr>
        <w:t>、具备无线遥控功能，每个无线手柄须配两套镇氢电池及一套充电器。</w:t>
      </w:r>
    </w:p>
    <w:p w14:paraId="1F12438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18</w:t>
      </w:r>
      <w:r>
        <w:rPr>
          <w:rFonts w:cs="Arial" w:asciiTheme="minorEastAsia" w:hAnsiTheme="minorEastAsia" w:eastAsiaTheme="minorEastAsia"/>
          <w:color w:val="000000" w:themeColor="text1"/>
          <w:sz w:val="21"/>
          <w:szCs w:val="21"/>
          <w:lang w:eastAsia="zh-CN"/>
          <w14:textFill>
            <w14:solidFill>
              <w14:schemeClr w14:val="tx1"/>
            </w14:solidFill>
          </w14:textFill>
        </w:rPr>
        <w:t>、手柄具备防尘、防水、防腐蚀及一定限度的防撞功能。</w:t>
      </w:r>
    </w:p>
    <w:p w14:paraId="22A11394">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19</w:t>
      </w:r>
      <w:r>
        <w:rPr>
          <w:rFonts w:cs="Arial" w:asciiTheme="minorEastAsia" w:hAnsiTheme="minorEastAsia" w:eastAsiaTheme="minorEastAsia"/>
          <w:color w:val="000000" w:themeColor="text1"/>
          <w:sz w:val="21"/>
          <w:szCs w:val="21"/>
          <w:lang w:eastAsia="zh-CN"/>
          <w14:textFill>
            <w14:solidFill>
              <w14:schemeClr w14:val="tx1"/>
            </w14:solidFill>
          </w14:textFill>
        </w:rPr>
        <w:t>、电缆选用耐高温阻燃软电缆，每根电缆须有备用芯。</w:t>
      </w:r>
    </w:p>
    <w:p w14:paraId="084E06A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0</w:t>
      </w:r>
      <w:r>
        <w:rPr>
          <w:rFonts w:cs="Arial" w:asciiTheme="minorEastAsia" w:hAnsiTheme="minorEastAsia" w:eastAsiaTheme="minorEastAsia"/>
          <w:color w:val="000000" w:themeColor="text1"/>
          <w:sz w:val="21"/>
          <w:szCs w:val="21"/>
          <w:lang w:eastAsia="zh-CN"/>
          <w14:textFill>
            <w14:solidFill>
              <w14:schemeClr w14:val="tx1"/>
            </w14:solidFill>
          </w14:textFill>
        </w:rPr>
        <w:t>、电源线线径不得低于4平方，控制线线径不得低于2平方。</w:t>
      </w:r>
    </w:p>
    <w:p w14:paraId="2886FF7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、移动电缆采用拖链敷设，固定电缆采用穿管敷设。</w:t>
      </w:r>
    </w:p>
    <w:p w14:paraId="5C3ACD1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、手柄控制线满足环境温度 20 </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40 </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的使用要求，外护套中植入防拉断钢丝绳。</w:t>
      </w:r>
    </w:p>
    <w:p w14:paraId="0BC6115E">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3</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、断路器、接触器、电机保护器、缺相保护器等元器件选用施耐德、西门子、常熟品牌。</w:t>
      </w:r>
    </w:p>
    <w:p w14:paraId="3A6FD0C9">
      <w:pPr>
        <w:pStyle w:val="3"/>
        <w:spacing w:before="0" w:line="380" w:lineRule="exact"/>
        <w:ind w:left="0"/>
        <w:rPr>
          <w:rFonts w:cs="Arial" w:asciiTheme="minorEastAsia" w:hAnsiTheme="minorEastAsia" w:eastAsiaTheme="minorEastAsia"/>
          <w:b/>
          <w:color w:val="000000" w:themeColor="text1"/>
          <w:sz w:val="21"/>
          <w:szCs w:val="21"/>
          <w:lang w:eastAsia="zh-CN"/>
          <w14:textFill>
            <w14:solidFill>
              <w14:schemeClr w14:val="tx1"/>
            </w14:solidFill>
          </w14:textFill>
        </w:rPr>
      </w:pPr>
      <w:bookmarkStart w:id="4" w:name="20150522_175304_016"/>
      <w:bookmarkEnd w:id="4"/>
      <w:r>
        <w:rPr>
          <w:rFonts w:hint="eastAsia" w:cs="Arial" w:asciiTheme="minorEastAsia" w:hAnsiTheme="minorEastAsia" w:eastAsiaTheme="minorEastAsia"/>
          <w:b/>
          <w:color w:val="000000" w:themeColor="text1"/>
          <w:sz w:val="21"/>
          <w:szCs w:val="21"/>
          <w:lang w:eastAsia="zh-CN"/>
          <w14:textFill>
            <w14:solidFill>
              <w14:schemeClr w14:val="tx1"/>
            </w14:solidFill>
          </w14:textFill>
        </w:rPr>
        <w:t>五、性能保证</w:t>
      </w:r>
    </w:p>
    <w:p w14:paraId="7EF6325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 1 质量保证</w:t>
      </w:r>
    </w:p>
    <w:p w14:paraId="05BA661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应满足本技术规范所提的技术要求。质量保证期限为设备试运行合格后 </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12</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 个月。</w:t>
      </w:r>
    </w:p>
    <w:p w14:paraId="0FF767B5">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应向</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保证提供设备是技术先进、成熟可靠的全新产品，在设计、材料选择和工艺上均无任何缺陷和差错，技术文件及图纸的内容必须正确、完整。</w:t>
      </w:r>
    </w:p>
    <w:p w14:paraId="5FC803AA">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3、</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应按照</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的使用工况，确保起重机在具有酸雾、结晶、水蒸汽的环境下可靠运行。</w:t>
      </w:r>
    </w:p>
    <w:p w14:paraId="45013AB2">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4、电动单梁起重机的制造质量应按最新标准执行，</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将参加设备验收，</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应按有关要求提供特种设备检验报告，并负责报检。</w:t>
      </w:r>
    </w:p>
    <w:p w14:paraId="41C20532">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应确保设备的制造质量，现场安装调试及试运行期间发现的非人为质量问题由</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免费负责解决。</w:t>
      </w:r>
    </w:p>
    <w:p w14:paraId="76DAFE64">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6、</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对一切在质保期内出现非人为损坏负责，并无偿、及时更换。因设备质量问题而造成的设备损坏或不能正常使用时，</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应无偿修理或更换，并将设备的质保期延长，延长时间为设备重新投运后18个月，否则严格履行赔偿责任 。</w:t>
      </w:r>
    </w:p>
    <w:p w14:paraId="269E6384">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7、在质保期内出现的人为损坏，</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应确保配件及时到位，</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按报价单付款。</w:t>
      </w:r>
    </w:p>
    <w:p w14:paraId="3D5B4DCD">
      <w:pPr>
        <w:pStyle w:val="3"/>
        <w:spacing w:before="0" w:line="380" w:lineRule="exact"/>
        <w:ind w:left="420" w:hanging="420" w:hangingChars="20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8、</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提供满足电动单梁起重机安装所必须的条件，包括：T型梁上平面的水平度在要求的范围内、压板螺栓的孔必须通透等安装所必须具备的条件。</w:t>
      </w:r>
    </w:p>
    <w:p w14:paraId="3BCC682E">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page">
                  <wp:posOffset>270510</wp:posOffset>
                </wp:positionH>
                <wp:positionV relativeFrom="paragraph">
                  <wp:posOffset>167640</wp:posOffset>
                </wp:positionV>
                <wp:extent cx="187960" cy="8255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7960" cy="82550"/>
                        </a:xfrm>
                        <a:prstGeom prst="rect">
                          <a:avLst/>
                        </a:prstGeom>
                        <a:noFill/>
                        <a:ln>
                          <a:noFill/>
                        </a:ln>
                      </wps:spPr>
                      <wps:txbx>
                        <w:txbxContent>
                          <w:p w14:paraId="5B24EF6F">
                            <w:pPr>
                              <w:spacing w:line="130" w:lineRule="exact"/>
                              <w:rPr>
                                <w:rFonts w:ascii="宋体" w:hAnsi="宋体" w:eastAsia="宋体" w:cs="宋体"/>
                                <w:sz w:val="13"/>
                                <w:szCs w:val="13"/>
                              </w:rPr>
                            </w:pPr>
                            <w:r>
                              <w:rPr>
                                <w:rFonts w:ascii="宋体" w:hAnsi="宋体" w:eastAsia="宋体" w:cs="宋体"/>
                                <w:color w:val="B3B8CA"/>
                                <w:w w:val="225"/>
                                <w:sz w:val="13"/>
                                <w:szCs w:val="13"/>
                              </w:rPr>
                              <w:t>．</w:t>
                            </w:r>
                          </w:p>
                        </w:txbxContent>
                      </wps:txbx>
                      <wps:bodyPr lIns="0" tIns="0" rIns="0" bIns="0" upright="1"/>
                    </wps:wsp>
                  </a:graphicData>
                </a:graphic>
              </wp:anchor>
            </w:drawing>
          </mc:Choice>
          <mc:Fallback>
            <w:pict>
              <v:shape id="文本框 7" o:spid="_x0000_s1026" o:spt="202" type="#_x0000_t202" style="position:absolute;left:0pt;margin-left:21.3pt;margin-top:13.2pt;height:6.5pt;width:14.8pt;mso-position-horizontal-relative:page;z-index:-251657216;mso-width-relative:page;mso-height-relative:page;" filled="f" stroked="f" coordsize="21600,21600" o:gfxdata="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IlnkVzWAAAABwEAAA8AAAAAAAAAAQAgAAAAIgAAAGRycy9kb3ducmV2LnhtbFBLAQIUABQA&#10;AAAIAIdO4kA9eA0TuQEAAHADAAAOAAAAAAAAAAEAIAAAACUBAABkcnMvZTJvRG9jLnhtbFBLBQYA&#10;AAAABgAGAFkBAABQBQAAAAA=&#10;">
                <v:fill on="f" focussize="0,0"/>
                <v:stroke on="f"/>
                <v:imagedata o:title=""/>
                <o:lock v:ext="edit" aspectratio="f"/>
                <v:textbox inset="0mm,0mm,0mm,0mm">
                  <w:txbxContent>
                    <w:p w14:paraId="5B24EF6F">
                      <w:pPr>
                        <w:spacing w:line="130" w:lineRule="exact"/>
                        <w:rPr>
                          <w:rFonts w:ascii="宋体" w:hAnsi="宋体" w:eastAsia="宋体" w:cs="宋体"/>
                          <w:sz w:val="13"/>
                          <w:szCs w:val="13"/>
                        </w:rPr>
                      </w:pPr>
                      <w:r>
                        <w:rPr>
                          <w:rFonts w:ascii="宋体" w:hAnsi="宋体" w:eastAsia="宋体" w:cs="宋体"/>
                          <w:color w:val="B3B8CA"/>
                          <w:w w:val="225"/>
                          <w:sz w:val="13"/>
                          <w:szCs w:val="13"/>
                        </w:rPr>
                        <w:t>．</w:t>
                      </w:r>
                    </w:p>
                  </w:txbxContent>
                </v:textbox>
              </v:shape>
            </w:pict>
          </mc:Fallback>
        </mc:AlternateContent>
      </w:r>
      <w:r>
        <w:rPr>
          <w:rFonts w:cs="Arial" w:asciiTheme="minorEastAsia" w:hAnsiTheme="minorEastAsia" w:eastAsiaTheme="minorEastAsia"/>
          <w:color w:val="000000" w:themeColor="text1"/>
          <w:sz w:val="21"/>
          <w:szCs w:val="21"/>
          <w:lang w:eastAsia="zh-CN"/>
          <w14:textFill>
            <w14:solidFill>
              <w14:schemeClr w14:val="tx1"/>
            </w14:solidFill>
          </w14:textFill>
        </w:rPr>
        <w:t>5.2 性能保证</w:t>
      </w:r>
    </w:p>
    <w:p w14:paraId="56D6926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bookmarkStart w:id="5" w:name="20150522_175304_017"/>
      <w:bookmarkEnd w:id="5"/>
      <w:r>
        <w:rPr>
          <w:rFonts w:cs="Arial" w:asciiTheme="minorEastAsia" w:hAnsiTheme="minorEastAsia" w:eastAsiaTheme="minorEastAsia"/>
          <w:color w:val="000000" w:themeColor="text1"/>
          <w:sz w:val="21"/>
          <w:szCs w:val="21"/>
          <w:lang w:eastAsia="zh-CN"/>
          <w14:textFill>
            <w14:solidFill>
              <w14:schemeClr w14:val="tx1"/>
            </w14:solidFill>
          </w14:textFill>
        </w:rPr>
        <w:t>1、主梁在静载荷时，下绕度严格控制在标准范围内即 S/700，其他机械性能按起重机械标准验收。</w:t>
      </w:r>
    </w:p>
    <w:p w14:paraId="6CD6E9B8">
      <w:pPr>
        <w:pStyle w:val="3"/>
        <w:spacing w:before="0" w:line="380" w:lineRule="exact"/>
        <w:ind w:left="315" w:hanging="315" w:hangingChars="15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2、保证起重机经过正确安装、合理操作和维护保养，在起重机寿命期内运转良好，质保期内 对因设计、工艺、制造或材料缺陷及所有</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责任引起该设备的任何缺陷、故障和损坏负责。</w:t>
      </w:r>
    </w:p>
    <w:p w14:paraId="69D759B6">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3、起重机钢构件的设计使用寿命为</w:t>
      </w:r>
      <w:r>
        <w:rPr>
          <w:rFonts w:hint="eastAsia" w:cs="Arial" w:asciiTheme="minorEastAsia" w:hAnsiTheme="minorEastAsia" w:eastAsiaTheme="minorEastAsia"/>
          <w:color w:val="000000" w:themeColor="text1"/>
          <w:sz w:val="21"/>
          <w:szCs w:val="21"/>
          <w:lang w:val="en-US" w:eastAsia="zh-CN"/>
          <w14:textFill>
            <w14:solidFill>
              <w14:schemeClr w14:val="tx1"/>
            </w14:solidFill>
          </w14:textFill>
        </w:rPr>
        <w:t>25</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 年。</w:t>
      </w:r>
    </w:p>
    <w:p w14:paraId="7E4EFA6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4、行车到现场，</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需派专业技术人员负责设</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备</w:t>
      </w:r>
      <w:r>
        <w:rPr>
          <w:rFonts w:cs="Arial" w:asciiTheme="minorEastAsia" w:hAnsiTheme="minorEastAsia" w:eastAsiaTheme="minorEastAsia"/>
          <w:color w:val="000000" w:themeColor="text1"/>
          <w:sz w:val="21"/>
          <w:szCs w:val="21"/>
          <w:lang w:eastAsia="zh-CN"/>
          <w14:textFill>
            <w14:solidFill>
              <w14:schemeClr w14:val="tx1"/>
            </w14:solidFill>
          </w14:textFill>
        </w:rPr>
        <w:t>的安装</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,吊车由供方解决</w:t>
      </w:r>
      <w:r>
        <w:rPr>
          <w:rFonts w:cs="Arial" w:asciiTheme="minorEastAsia" w:hAnsiTheme="minorEastAsia" w:eastAsiaTheme="minorEastAsia"/>
          <w:color w:val="000000" w:themeColor="text1"/>
          <w:sz w:val="21"/>
          <w:szCs w:val="21"/>
          <w:lang w:eastAsia="zh-CN"/>
          <w14:textFill>
            <w14:solidFill>
              <w14:schemeClr w14:val="tx1"/>
            </w14:solidFill>
          </w14:textFill>
        </w:rPr>
        <w:t>。</w:t>
      </w:r>
    </w:p>
    <w:p w14:paraId="7ECF0E5F">
      <w:pPr>
        <w:pStyle w:val="3"/>
        <w:spacing w:before="0" w:line="380" w:lineRule="exact"/>
        <w:ind w:left="315" w:hanging="315" w:hangingChars="15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负责起重机设</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备</w:t>
      </w:r>
      <w:r>
        <w:rPr>
          <w:rFonts w:cs="Arial" w:asciiTheme="minorEastAsia" w:hAnsiTheme="minorEastAsia" w:eastAsiaTheme="minorEastAsia"/>
          <w:color w:val="000000" w:themeColor="text1"/>
          <w:sz w:val="21"/>
          <w:szCs w:val="21"/>
          <w:lang w:eastAsia="zh-CN"/>
          <w14:textFill>
            <w14:solidFill>
              <w14:schemeClr w14:val="tx1"/>
            </w14:solidFill>
          </w14:textFill>
        </w:rPr>
        <w:t>报检所需资料并报检，保证</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顺利通过检验合格报告。在设备制造过程中，</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将派专人（2人）进行设备的监造，确保电动单梁起重机质量符合技术规范要求，</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应予以配合免费提供监造人员在监造过程中的往返费用及食宿。</w:t>
      </w:r>
    </w:p>
    <w:p w14:paraId="481FDD2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5.3 设备包装和运输方案</w:t>
      </w:r>
    </w:p>
    <w:p w14:paraId="131B311D">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1、包装方案符合 JB2759 80《机电产品包装通用技术条件》的要求。</w:t>
      </w:r>
    </w:p>
    <w:p w14:paraId="1B59E15F">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2、起重机主体按 JB2759 80《机电产品包装通用技术条件》附录一《包装型式》要求采用裸装 。</w:t>
      </w:r>
    </w:p>
    <w:p w14:paraId="737F99C4">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3、对裸装起重机主体上的电动机、制动器等要求防雨、防潮的部位进行局部包装，包装时采用防水材料，如塑料薄膜、塑料复合纸、石油沥青油纸等进行捆扎，塑料薄膜中应放置干燥剂。</w:t>
      </w:r>
    </w:p>
    <w:p w14:paraId="65876428">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4、裸装的起重机主体标识可直接喷刷在产品上，</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在起重机主梁下面喷有含商标、厂名、起重机规格型号的油漆标志，不褪色的油漆标志准确、清晰、牢固。</w:t>
      </w:r>
    </w:p>
    <w:p w14:paraId="29F384D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5、随机零部件、随机备件</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采用包装箱包装，包装箱内装小车导电滑车、电缆、铜芯线、标准件、限位开关、照明变压器、照明灯等详见装箱单，包装箱内有防雨塑料薄膜。</w:t>
      </w:r>
    </w:p>
    <w:p w14:paraId="7161A07F">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 </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六</w:t>
      </w:r>
      <w:r>
        <w:rPr>
          <w:rFonts w:cs="Arial" w:asciiTheme="minorEastAsia" w:hAnsiTheme="minorEastAsia" w:eastAsiaTheme="minorEastAsia"/>
          <w:color w:val="000000" w:themeColor="text1"/>
          <w:sz w:val="21"/>
          <w:szCs w:val="21"/>
          <w:lang w:eastAsia="zh-CN"/>
          <w14:textFill>
            <w14:solidFill>
              <w14:schemeClr w14:val="tx1"/>
            </w14:solidFill>
          </w14:textFill>
        </w:rPr>
        <w:t>、包装箱箱面的标志、内容</w:t>
      </w:r>
    </w:p>
    <w:p w14:paraId="66EF6A01">
      <w:pPr>
        <w:pStyle w:val="3"/>
        <w:spacing w:before="0" w:line="380" w:lineRule="exact"/>
        <w:ind w:left="0" w:firstLine="247" w:firstLineChars="118"/>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 起重机规格型号、名称及数量</w:t>
      </w:r>
    </w:p>
    <w:p w14:paraId="49A8C6DB">
      <w:pPr>
        <w:pStyle w:val="3"/>
        <w:spacing w:before="0" w:line="380" w:lineRule="exact"/>
        <w:ind w:left="0" w:firstLine="247" w:firstLineChars="118"/>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 xml:space="preserve"> </w:t>
      </w:r>
      <w:r>
        <w:rPr>
          <w:rFonts w:cs="Arial" w:asciiTheme="minorEastAsia" w:hAnsiTheme="minorEastAsia" w:eastAsiaTheme="minorEastAsia"/>
          <w:color w:val="000000" w:themeColor="text1"/>
          <w:sz w:val="21"/>
          <w:szCs w:val="21"/>
          <w:lang w:eastAsia="zh-CN"/>
          <w14:textFill>
            <w14:solidFill>
              <w14:schemeClr w14:val="tx1"/>
            </w14:solidFill>
          </w14:textFill>
        </w:rPr>
        <w:t>出厂编号及箱号</w:t>
      </w:r>
    </w:p>
    <w:p w14:paraId="530974E1">
      <w:pPr>
        <w:pStyle w:val="3"/>
        <w:spacing w:before="0" w:line="380" w:lineRule="exact"/>
        <w:ind w:left="0" w:firstLine="247" w:firstLineChars="118"/>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(3)</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 xml:space="preserve"> </w:t>
      </w:r>
      <w:r>
        <w:rPr>
          <w:rFonts w:cs="Arial" w:asciiTheme="minorEastAsia" w:hAnsiTheme="minorEastAsia" w:eastAsiaTheme="minorEastAsia"/>
          <w:color w:val="000000" w:themeColor="text1"/>
          <w:sz w:val="21"/>
          <w:szCs w:val="21"/>
          <w:lang w:eastAsia="zh-CN"/>
          <w14:textFill>
            <w14:solidFill>
              <w14:schemeClr w14:val="tx1"/>
            </w14:solidFill>
          </w14:textFill>
        </w:rPr>
        <w:t>箱体尺寸（长×宽×高）</w:t>
      </w:r>
    </w:p>
    <w:p w14:paraId="753B31C4">
      <w:pPr>
        <w:pStyle w:val="3"/>
        <w:spacing w:before="0" w:line="380" w:lineRule="exact"/>
        <w:ind w:left="0" w:firstLine="247" w:firstLineChars="118"/>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(4)</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 xml:space="preserve"> </w:t>
      </w:r>
      <w:r>
        <w:rPr>
          <w:rFonts w:cs="Arial" w:asciiTheme="minorEastAsia" w:hAnsiTheme="minorEastAsia" w:eastAsiaTheme="minorEastAsia"/>
          <w:color w:val="000000" w:themeColor="text1"/>
          <w:sz w:val="21"/>
          <w:szCs w:val="21"/>
          <w:lang w:eastAsia="zh-CN"/>
          <w14:textFill>
            <w14:solidFill>
              <w14:schemeClr w14:val="tx1"/>
            </w14:solidFill>
          </w14:textFill>
        </w:rPr>
        <w:t>净重与毛重</w:t>
      </w:r>
    </w:p>
    <w:p w14:paraId="7674D3FD">
      <w:pPr>
        <w:pStyle w:val="3"/>
        <w:spacing w:before="0" w:line="380" w:lineRule="exact"/>
        <w:ind w:left="0" w:firstLine="247" w:firstLineChars="118"/>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 xml:space="preserve"> </w:t>
      </w:r>
      <w:r>
        <w:rPr>
          <w:rFonts w:cs="Arial" w:asciiTheme="minorEastAsia" w:hAnsiTheme="minorEastAsia" w:eastAsiaTheme="minorEastAsia"/>
          <w:color w:val="000000" w:themeColor="text1"/>
          <w:sz w:val="21"/>
          <w:szCs w:val="21"/>
          <w:lang w:eastAsia="zh-CN"/>
          <w14:textFill>
            <w14:solidFill>
              <w14:schemeClr w14:val="tx1"/>
            </w14:solidFill>
          </w14:textFill>
        </w:rPr>
        <w:t>装箱日期</w:t>
      </w:r>
    </w:p>
    <w:p w14:paraId="24C42631">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 4 装箱单及易损件清单</w:t>
      </w:r>
    </w:p>
    <w:p w14:paraId="4DD063F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每台电动单梁起重机应随机附有合格证、装箱单、易损件清单及安装使用说明书，设备到货时，</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人员同</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设备管理人员共同负责对设备进行到货验收，将装订好的资料交于</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设备人员，并签字确定。</w:t>
      </w:r>
    </w:p>
    <w:p w14:paraId="1FB41008">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 5 现场技术服务</w:t>
      </w:r>
    </w:p>
    <w:p w14:paraId="55E2D4BD">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bookmarkStart w:id="6" w:name="20150522_175304_018"/>
      <w:bookmarkEnd w:id="6"/>
      <w:r>
        <w:rPr>
          <w:rFonts w:cs="Arial" w:asciiTheme="minorEastAsia" w:hAnsiTheme="minorEastAsia" w:eastAsiaTheme="minorEastAsia"/>
          <w:color w:val="000000" w:themeColor="text1"/>
          <w:sz w:val="21"/>
          <w:szCs w:val="21"/>
          <w:lang w:eastAsia="zh-CN"/>
          <w14:textFill>
            <w14:solidFill>
              <w14:schemeClr w14:val="tx1"/>
            </w14:solidFill>
          </w14:textFill>
        </w:rPr>
        <w:t>电动单梁起重机到现场安装时，</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需派专业技术人员负责安装。</w:t>
      </w:r>
    </w:p>
    <w:p w14:paraId="7CF75F93">
      <w:pPr>
        <w:pStyle w:val="3"/>
        <w:spacing w:before="0" w:line="380" w:lineRule="exact"/>
        <w:ind w:left="0"/>
        <w:rPr>
          <w:rFonts w:hint="eastAsia" w:cs="Arial" w:asciiTheme="minorEastAsia" w:hAnsiTheme="minorEastAsia" w:eastAsiaTheme="minorEastAsia"/>
          <w:b/>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b/>
          <w:color w:val="000000" w:themeColor="text1"/>
          <w:sz w:val="21"/>
          <w:szCs w:val="21"/>
          <w:lang w:eastAsia="zh-CN"/>
          <w14:textFill>
            <w14:solidFill>
              <w14:schemeClr w14:val="tx1"/>
            </w14:solidFill>
          </w14:textFill>
        </w:rPr>
        <w:t>六、供方交付的资料</w:t>
      </w:r>
    </w:p>
    <w:p w14:paraId="51EDB21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6.</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技术服务</w:t>
      </w:r>
    </w:p>
    <w:p w14:paraId="565295F7">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6.1.l</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向</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提供设计院设计所需的技术资料，在提供签字盖章资料的同时提供电子版资料，提供的技术资料有 ：</w:t>
      </w:r>
    </w:p>
    <w:p w14:paraId="17C9391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1、合同签订7日提供的资料</w:t>
      </w:r>
    </w:p>
    <w:p w14:paraId="3FF1F89D">
      <w:pPr>
        <w:pStyle w:val="3"/>
        <w:spacing w:before="0" w:line="380" w:lineRule="exact"/>
        <w:ind w:left="0" w:firstLine="495" w:firstLineChars="236"/>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总装配图</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r>
        <w:rPr>
          <w:rFonts w:cs="Arial" w:asciiTheme="minorEastAsia" w:hAnsiTheme="minorEastAsia" w:eastAsiaTheme="minorEastAsia"/>
          <w:color w:val="000000" w:themeColor="text1"/>
          <w:sz w:val="21"/>
          <w:szCs w:val="21"/>
          <w:lang w:eastAsia="zh-CN"/>
          <w14:textFill>
            <w14:solidFill>
              <w14:schemeClr w14:val="tx1"/>
            </w14:solidFill>
          </w14:textFill>
        </w:rPr>
        <w:t xml:space="preserve"> 具有三面视图</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，具</w:t>
      </w:r>
      <w:r>
        <w:rPr>
          <w:rFonts w:cs="Arial" w:asciiTheme="minorEastAsia" w:hAnsiTheme="minorEastAsia" w:eastAsiaTheme="minorEastAsia"/>
          <w:color w:val="000000" w:themeColor="text1"/>
          <w:sz w:val="21"/>
          <w:szCs w:val="21"/>
          <w:lang w:eastAsia="zh-CN"/>
          <w14:textFill>
            <w14:solidFill>
              <w14:schemeClr w14:val="tx1"/>
            </w14:solidFill>
          </w14:textFill>
        </w:rPr>
        <w:t>备下述尺寸</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0A80AC37">
      <w:pPr>
        <w:pStyle w:val="3"/>
        <w:spacing w:before="0" w:line="380" w:lineRule="exact"/>
        <w:ind w:left="0" w:firstLine="495" w:firstLineChars="236"/>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行车的外形极限尺寸；大车缓冲器的位置尺寸</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2A248C62">
      <w:pPr>
        <w:pStyle w:val="3"/>
        <w:spacing w:before="0" w:line="380" w:lineRule="exact"/>
        <w:ind w:left="0" w:firstLine="495" w:firstLineChars="236"/>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滑触线的位置尺寸</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64B4756A">
      <w:pPr>
        <w:pStyle w:val="3"/>
        <w:spacing w:before="0" w:line="380" w:lineRule="exact"/>
        <w:ind w:left="0" w:firstLine="495" w:firstLineChars="236"/>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大车轮距及小车轮距</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073DDBD1">
      <w:pPr>
        <w:pStyle w:val="3"/>
        <w:spacing w:before="0" w:line="380" w:lineRule="exact"/>
        <w:ind w:left="0" w:firstLine="495" w:firstLineChars="236"/>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吊钩的上下左右极限位置尺寸</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583C85E5">
      <w:pPr>
        <w:pStyle w:val="3"/>
        <w:spacing w:before="0" w:line="380" w:lineRule="exact"/>
        <w:ind w:left="0" w:firstLine="495" w:firstLineChars="236"/>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起重机的最大轮压、最小轮压等参数。</w:t>
      </w:r>
    </w:p>
    <w:p w14:paraId="4F5171E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6. 1.2 随机到货提供的资料</w:t>
      </w:r>
    </w:p>
    <w:p w14:paraId="4BD0242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1、</w:t>
      </w:r>
      <w:r>
        <w:rPr>
          <w:rFonts w:cs="Arial" w:asciiTheme="minorEastAsia" w:hAnsiTheme="minorEastAsia" w:eastAsiaTheme="minorEastAsia"/>
          <w:color w:val="000000" w:themeColor="text1"/>
          <w:sz w:val="21"/>
          <w:szCs w:val="21"/>
          <w:lang w:eastAsia="zh-CN"/>
          <w14:textFill>
            <w14:solidFill>
              <w14:schemeClr w14:val="tx1"/>
            </w14:solidFill>
          </w14:textFill>
        </w:rPr>
        <w:t>主要外购机电设备、仪器仪表和主要构件材料的技术资料，合格证等：</w:t>
      </w:r>
    </w:p>
    <w:p w14:paraId="359B515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2、产品出厂质量检测记录及合格证</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32C061D9">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3、安装使用维修说明书</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61236233">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4、吊钩合格证、钢丝绳合格证</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17BA5A51">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5、主要构件材质证明书</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0BB95F32">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6、起重机静载荷试验 、动载荷试验报告</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08E4929C">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7、电气原理图、易损件明细表等</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1A77933A">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8、是否取得</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所在地安检部门颁发的使用许可证书</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4E731CCD">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9、当地特种设各检验单位的质量证明书</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02E4C842">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hint="eastAsia" w:cs="Arial" w:asciiTheme="minorEastAsia" w:hAnsiTheme="minorEastAsia" w:eastAsiaTheme="minorEastAsia"/>
          <w:color w:val="000000" w:themeColor="text1"/>
          <w:sz w:val="21"/>
          <w:szCs w:val="21"/>
          <w:lang w:eastAsia="zh-CN"/>
          <w14:textFill>
            <w14:solidFill>
              <w14:schemeClr w14:val="tx1"/>
            </w14:solidFill>
          </w14:textFill>
        </w:rPr>
        <w:t>七、</w:t>
      </w:r>
      <w:r>
        <w:rPr>
          <w:rFonts w:cs="Arial" w:asciiTheme="minorEastAsia" w:hAnsiTheme="minorEastAsia" w:eastAsiaTheme="minorEastAsia"/>
          <w:color w:val="000000" w:themeColor="text1"/>
          <w:sz w:val="21"/>
          <w:szCs w:val="21"/>
          <w:lang w:eastAsia="zh-CN"/>
          <w14:textFill>
            <w14:solidFill>
              <w14:schemeClr w14:val="tx1"/>
            </w14:solidFill>
          </w14:textFill>
        </w:rPr>
        <w:t>技术服务</w:t>
      </w:r>
    </w:p>
    <w:p w14:paraId="77378180">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7.1 售前服务</w:t>
      </w:r>
    </w:p>
    <w:p w14:paraId="4BF99CF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1、按合同规定向监造单位提供有关部门标准和图纸，并为监造提供方便。对监造设备的停工待检部位提前7天通知</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及监造代表 。</w:t>
      </w:r>
    </w:p>
    <w:p w14:paraId="0E943FC5">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2、整机性能检验、整机的验收工作在设备使用现场进行，</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技术人员到现场调试运行，直到设各验收合格为止 。</w:t>
      </w:r>
    </w:p>
    <w:p w14:paraId="5BC68E60">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7.2 售</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中</w:t>
      </w:r>
      <w:r>
        <w:rPr>
          <w:rFonts w:cs="Arial" w:asciiTheme="minorEastAsia" w:hAnsiTheme="minorEastAsia" w:eastAsiaTheme="minorEastAsia"/>
          <w:color w:val="000000" w:themeColor="text1"/>
          <w:sz w:val="21"/>
          <w:szCs w:val="21"/>
          <w:lang w:eastAsia="zh-CN"/>
          <w14:textFill>
            <w14:solidFill>
              <w14:schemeClr w14:val="tx1"/>
            </w14:solidFill>
          </w14:textFill>
        </w:rPr>
        <w:t>服务</w:t>
      </w:r>
      <w:bookmarkStart w:id="7" w:name="20150522_175304_019"/>
      <w:bookmarkEnd w:id="7"/>
    </w:p>
    <w:p w14:paraId="7E0FC09C">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投产运行后单梁起重机出现质量问题，</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技术服务人员应立即到现场处理问题，保证 随叫</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随到</w:t>
      </w:r>
      <w:r>
        <w:rPr>
          <w:rFonts w:cs="Arial" w:asciiTheme="minorEastAsia" w:hAnsiTheme="minorEastAsia" w:eastAsiaTheme="minorEastAsia"/>
          <w:color w:val="000000" w:themeColor="text1"/>
          <w:sz w:val="21"/>
          <w:szCs w:val="21"/>
          <w:lang w:eastAsia="zh-CN"/>
          <w14:textFill>
            <w14:solidFill>
              <w14:schemeClr w14:val="tx1"/>
            </w14:solidFill>
          </w14:textFill>
        </w:rPr>
        <w:t>。</w:t>
      </w:r>
    </w:p>
    <w:p w14:paraId="5D905DFC">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7.3 售后服务</w:t>
      </w:r>
    </w:p>
    <w:p w14:paraId="32885B6B">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1、</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承诺把 “24 小时服务”“超前服务”“全过程服务”“终身服务”，贯彻在产品制造、安装、调试、大修的全过程</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w:t>
      </w:r>
    </w:p>
    <w:p w14:paraId="6279D9CC">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r>
        <w:rPr>
          <w:rFonts w:cs="Arial" w:asciiTheme="minorEastAsia" w:hAnsiTheme="minorEastAsia" w:eastAsiaTheme="minorEastAsia"/>
          <w:color w:val="000000" w:themeColor="text1"/>
          <w:sz w:val="21"/>
          <w:szCs w:val="21"/>
          <w:lang w:eastAsia="zh-CN"/>
          <w14:textFill>
            <w14:solidFill>
              <w14:schemeClr w14:val="tx1"/>
            </w14:solidFill>
          </w14:textFill>
        </w:rPr>
        <w:t>2、</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供方</w:t>
      </w:r>
      <w:r>
        <w:rPr>
          <w:rFonts w:cs="Arial" w:asciiTheme="minorEastAsia" w:hAnsiTheme="minorEastAsia" w:eastAsiaTheme="minorEastAsia"/>
          <w:color w:val="000000" w:themeColor="text1"/>
          <w:sz w:val="21"/>
          <w:szCs w:val="21"/>
          <w:lang w:eastAsia="zh-CN"/>
          <w14:textFill>
            <w14:solidFill>
              <w14:schemeClr w14:val="tx1"/>
            </w14:solidFill>
          </w14:textFill>
        </w:rPr>
        <w:t>应保证充足的备品各件，保证</w:t>
      </w:r>
      <w:r>
        <w:rPr>
          <w:rFonts w:hint="eastAsia" w:cs="Arial" w:asciiTheme="minorEastAsia" w:hAnsiTheme="minorEastAsia" w:eastAsiaTheme="minorEastAsia"/>
          <w:color w:val="000000" w:themeColor="text1"/>
          <w:sz w:val="21"/>
          <w:szCs w:val="21"/>
          <w:lang w:eastAsia="zh-CN"/>
          <w14:textFill>
            <w14:solidFill>
              <w14:schemeClr w14:val="tx1"/>
            </w14:solidFill>
          </w14:textFill>
        </w:rPr>
        <w:t>需方</w:t>
      </w:r>
      <w:r>
        <w:rPr>
          <w:rFonts w:cs="Arial" w:asciiTheme="minorEastAsia" w:hAnsiTheme="minorEastAsia" w:eastAsiaTheme="minorEastAsia"/>
          <w:color w:val="000000" w:themeColor="text1"/>
          <w:sz w:val="21"/>
          <w:szCs w:val="21"/>
          <w:lang w:eastAsia="zh-CN"/>
          <w14:textFill>
            <w14:solidFill>
              <w14:schemeClr w14:val="tx1"/>
            </w14:solidFill>
          </w14:textFill>
        </w:rPr>
        <w:t>设备的平稳运行。</w:t>
      </w:r>
    </w:p>
    <w:p w14:paraId="09B1FE33">
      <w:pPr>
        <w:pStyle w:val="3"/>
        <w:spacing w:before="0" w:line="380" w:lineRule="exact"/>
        <w:ind w:left="0"/>
        <w:rPr>
          <w:rFonts w:cs="Arial" w:asciiTheme="minorEastAsia" w:hAnsiTheme="minorEastAsia" w:eastAsiaTheme="minorEastAsia"/>
          <w:color w:val="000000" w:themeColor="text1"/>
          <w:sz w:val="21"/>
          <w:szCs w:val="21"/>
          <w:lang w:eastAsia="zh-CN"/>
          <w14:textFill>
            <w14:solidFill>
              <w14:schemeClr w14:val="tx1"/>
            </w14:solidFill>
          </w14:textFill>
        </w:rPr>
      </w:pPr>
    </w:p>
    <w:p w14:paraId="769EA6BB">
      <w:pPr>
        <w:pStyle w:val="3"/>
        <w:spacing w:before="0" w:line="380" w:lineRule="exact"/>
        <w:ind w:left="0"/>
        <w:rPr>
          <w:rFonts w:hint="default" w:asciiTheme="minorEastAsia" w:hAnsiTheme="minorEastAsia" w:eastAsiaTheme="minorEastAsia"/>
          <w:b/>
          <w:sz w:val="21"/>
          <w:szCs w:val="21"/>
          <w:lang w:val="en-US" w:eastAsia="zh-CN"/>
        </w:rPr>
      </w:pPr>
      <w:r>
        <w:rPr>
          <w:rFonts w:hint="eastAsia" w:cs="Arial" w:asciiTheme="minorEastAsia" w:hAnsiTheme="minorEastAsia" w:eastAsiaTheme="minorEastAsia"/>
          <w:b/>
          <w:color w:val="000000" w:themeColor="text1"/>
          <w:sz w:val="21"/>
          <w:szCs w:val="21"/>
          <w:lang w:eastAsia="zh-CN"/>
          <w14:textFill>
            <w14:solidFill>
              <w14:schemeClr w14:val="tx1"/>
            </w14:solidFill>
          </w14:textFill>
        </w:rPr>
        <w:t xml:space="preserve">需 </w:t>
      </w:r>
      <w:r>
        <w:rPr>
          <w:rFonts w:cs="Arial" w:asciiTheme="minorEastAsia" w:hAnsiTheme="minorEastAsia" w:eastAsiaTheme="minorEastAsia"/>
          <w:b/>
          <w:color w:val="000000" w:themeColor="text1"/>
          <w:sz w:val="21"/>
          <w:szCs w:val="21"/>
          <w:lang w:eastAsia="zh-CN"/>
          <w14:textFill>
            <w14:solidFill>
              <w14:schemeClr w14:val="tx1"/>
            </w14:solidFill>
          </w14:textFill>
        </w:rPr>
        <w:t xml:space="preserve"> </w:t>
      </w:r>
      <w:r>
        <w:rPr>
          <w:rFonts w:hint="eastAsia" w:cs="Arial" w:asciiTheme="minorEastAsia" w:hAnsiTheme="minorEastAsia" w:eastAsiaTheme="minorEastAsia"/>
          <w:b/>
          <w:color w:val="000000" w:themeColor="text1"/>
          <w:sz w:val="21"/>
          <w:szCs w:val="21"/>
          <w:lang w:eastAsia="zh-CN"/>
          <w14:textFill>
            <w14:solidFill>
              <w14:schemeClr w14:val="tx1"/>
            </w14:solidFill>
          </w14:textFill>
        </w:rPr>
        <w:t>方</w:t>
      </w:r>
      <w:r>
        <w:rPr>
          <w:rFonts w:cs="Arial" w:asciiTheme="minorEastAsia" w:hAnsiTheme="minorEastAsia" w:eastAsiaTheme="minorEastAsia"/>
          <w:b/>
          <w:color w:val="000000" w:themeColor="text1"/>
          <w:sz w:val="21"/>
          <w:szCs w:val="21"/>
          <w:lang w:eastAsia="zh-CN"/>
          <w14:textFill>
            <w14:solidFill>
              <w14:schemeClr w14:val="tx1"/>
            </w14:solidFill>
          </w14:textFill>
        </w:rPr>
        <w:t>：</w:t>
      </w:r>
      <w:r>
        <w:rPr>
          <w:rFonts w:hint="eastAsia" w:asciiTheme="minorEastAsia" w:hAnsiTheme="minorEastAsia" w:eastAsiaTheme="minorEastAsia"/>
          <w:b/>
          <w:sz w:val="21"/>
          <w:szCs w:val="21"/>
          <w:lang w:eastAsia="zh-CN"/>
        </w:rPr>
        <w:t>宁夏天元</w:t>
      </w:r>
      <w:r>
        <w:rPr>
          <w:rFonts w:hint="eastAsia" w:asciiTheme="minorEastAsia" w:hAnsiTheme="minorEastAsia" w:eastAsiaTheme="minorEastAsia"/>
          <w:b/>
          <w:sz w:val="21"/>
          <w:szCs w:val="21"/>
          <w:lang w:val="en-US" w:eastAsia="zh-CN"/>
        </w:rPr>
        <w:t>锰业集股份</w:t>
      </w:r>
      <w:r>
        <w:rPr>
          <w:rFonts w:hint="eastAsia" w:asciiTheme="minorEastAsia" w:hAnsiTheme="minorEastAsia" w:eastAsiaTheme="minorEastAsia"/>
          <w:b/>
          <w:sz w:val="21"/>
          <w:szCs w:val="21"/>
          <w:lang w:eastAsia="zh-CN"/>
        </w:rPr>
        <w:t>有限公司             供  方</w:t>
      </w:r>
      <w:r>
        <w:rPr>
          <w:rFonts w:asciiTheme="minorEastAsia" w:hAnsiTheme="minorEastAsia" w:eastAsiaTheme="minorEastAsia"/>
          <w:b/>
          <w:sz w:val="21"/>
          <w:szCs w:val="21"/>
          <w:lang w:eastAsia="zh-CN"/>
        </w:rPr>
        <w:t>：</w:t>
      </w:r>
    </w:p>
    <w:p w14:paraId="3A2B59C0">
      <w:pPr>
        <w:pStyle w:val="3"/>
        <w:spacing w:before="0" w:line="380" w:lineRule="exact"/>
        <w:ind w:left="0"/>
        <w:rPr>
          <w:rFonts w:asciiTheme="minorEastAsia" w:hAnsiTheme="minorEastAsia" w:eastAsiaTheme="minorEastAsia"/>
          <w:b/>
          <w:sz w:val="21"/>
          <w:szCs w:val="21"/>
          <w:lang w:eastAsia="zh-CN"/>
        </w:rPr>
      </w:pPr>
      <w:r>
        <w:rPr>
          <w:rFonts w:hint="eastAsia" w:asciiTheme="minorEastAsia" w:hAnsiTheme="minorEastAsia" w:eastAsiaTheme="minorEastAsia"/>
          <w:b/>
          <w:sz w:val="21"/>
          <w:szCs w:val="21"/>
          <w:lang w:eastAsia="zh-CN"/>
        </w:rPr>
        <w:t>代表人</w:t>
      </w:r>
      <w:r>
        <w:rPr>
          <w:rFonts w:asciiTheme="minorEastAsia" w:hAnsiTheme="minorEastAsia" w:eastAsiaTheme="minorEastAsia"/>
          <w:b/>
          <w:sz w:val="21"/>
          <w:szCs w:val="21"/>
          <w:lang w:eastAsia="zh-CN"/>
        </w:rPr>
        <w:t>：</w:t>
      </w:r>
      <w:r>
        <w:rPr>
          <w:rFonts w:hint="eastAsia" w:asciiTheme="minorEastAsia" w:hAnsiTheme="minorEastAsia" w:eastAsiaTheme="minorEastAsia"/>
          <w:b/>
          <w:sz w:val="21"/>
          <w:szCs w:val="21"/>
          <w:lang w:eastAsia="zh-CN"/>
        </w:rPr>
        <w:t xml:space="preserve">                                  </w:t>
      </w:r>
      <w:r>
        <w:rPr>
          <w:rFonts w:asciiTheme="minorEastAsia" w:hAnsiTheme="minorEastAsia" w:eastAsiaTheme="minorEastAsia"/>
          <w:b/>
          <w:sz w:val="21"/>
          <w:szCs w:val="21"/>
          <w:lang w:eastAsia="zh-CN"/>
        </w:rPr>
        <w:t xml:space="preserve"> </w:t>
      </w:r>
      <w:r>
        <w:rPr>
          <w:rFonts w:hint="eastAsia" w:asciiTheme="minorEastAsia" w:hAnsiTheme="minorEastAsia" w:eastAsiaTheme="minorEastAsia"/>
          <w:b/>
          <w:sz w:val="21"/>
          <w:szCs w:val="21"/>
          <w:lang w:eastAsia="zh-CN"/>
        </w:rPr>
        <w:t xml:space="preserve">  代表人</w:t>
      </w:r>
      <w:r>
        <w:rPr>
          <w:rFonts w:asciiTheme="minorEastAsia" w:hAnsiTheme="minorEastAsia" w:eastAsiaTheme="minorEastAsia"/>
          <w:b/>
          <w:sz w:val="21"/>
          <w:szCs w:val="21"/>
          <w:lang w:eastAsia="zh-CN"/>
        </w:rPr>
        <w:t>：</w:t>
      </w:r>
    </w:p>
    <w:p w14:paraId="7F2B254E">
      <w:pPr>
        <w:pStyle w:val="3"/>
        <w:spacing w:before="0" w:line="380" w:lineRule="exact"/>
        <w:ind w:left="0"/>
        <w:rPr>
          <w:rFonts w:cs="Arial" w:asciiTheme="minorEastAsia" w:hAnsiTheme="minorEastAsia" w:eastAsiaTheme="minorEastAsia"/>
          <w:b/>
          <w:color w:val="000000" w:themeColor="text1"/>
          <w:sz w:val="21"/>
          <w:szCs w:val="21"/>
          <w:lang w:eastAsia="zh-CN"/>
          <w14:textFill>
            <w14:solidFill>
              <w14:schemeClr w14:val="tx1"/>
            </w14:solidFill>
          </w14:textFill>
        </w:rPr>
      </w:pPr>
      <w:r>
        <w:rPr>
          <w:rFonts w:hint="eastAsia" w:asciiTheme="minorEastAsia" w:hAnsiTheme="minorEastAsia" w:eastAsiaTheme="minorEastAsia"/>
          <w:b/>
          <w:sz w:val="21"/>
          <w:szCs w:val="21"/>
          <w:lang w:eastAsia="zh-CN"/>
        </w:rPr>
        <w:t>签订</w:t>
      </w:r>
      <w:r>
        <w:rPr>
          <w:rFonts w:asciiTheme="minorEastAsia" w:hAnsiTheme="minorEastAsia" w:eastAsiaTheme="minorEastAsia"/>
          <w:b/>
          <w:sz w:val="21"/>
          <w:szCs w:val="21"/>
          <w:lang w:eastAsia="zh-CN"/>
        </w:rPr>
        <w:t>日期：</w:t>
      </w:r>
      <w:r>
        <w:rPr>
          <w:rFonts w:hint="eastAsia" w:asciiTheme="minorEastAsia" w:hAnsiTheme="minorEastAsia" w:eastAsiaTheme="minorEastAsia"/>
          <w:b/>
          <w:sz w:val="21"/>
          <w:szCs w:val="21"/>
          <w:lang w:eastAsia="zh-CN"/>
        </w:rPr>
        <w:t xml:space="preserve">                                 </w:t>
      </w:r>
      <w:r>
        <w:rPr>
          <w:rFonts w:asciiTheme="minorEastAsia" w:hAnsiTheme="minorEastAsia" w:eastAsiaTheme="minorEastAsia"/>
          <w:b/>
          <w:sz w:val="21"/>
          <w:szCs w:val="21"/>
          <w:lang w:eastAsia="zh-CN"/>
        </w:rPr>
        <w:t xml:space="preserve"> </w:t>
      </w:r>
      <w:r>
        <w:rPr>
          <w:rFonts w:hint="eastAsia" w:asciiTheme="minorEastAsia" w:hAnsiTheme="minorEastAsia" w:eastAsiaTheme="minorEastAsia"/>
          <w:b/>
          <w:sz w:val="21"/>
          <w:szCs w:val="21"/>
          <w:lang w:eastAsia="zh-CN"/>
        </w:rPr>
        <w:t xml:space="preserve"> 签订</w:t>
      </w:r>
      <w:r>
        <w:rPr>
          <w:rFonts w:asciiTheme="minorEastAsia" w:hAnsiTheme="minorEastAsia" w:eastAsiaTheme="minorEastAsia"/>
          <w:b/>
          <w:sz w:val="21"/>
          <w:szCs w:val="21"/>
          <w:lang w:eastAsia="zh-CN"/>
        </w:rPr>
        <w:t>日期：</w:t>
      </w:r>
    </w:p>
    <w:sectPr>
      <w:footerReference r:id="rId3" w:type="default"/>
      <w:pgSz w:w="11910" w:h="16840"/>
      <w:pgMar w:top="1360" w:right="1278" w:bottom="1276" w:left="1276" w:header="0"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B4070">
    <w:pPr>
      <w:spacing w:line="14" w:lineRule="auto"/>
      <w:rPr>
        <w:sz w:val="4"/>
        <w:szCs w:val="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725"/>
    <w:rsid w:val="00040B6A"/>
    <w:rsid w:val="00042283"/>
    <w:rsid w:val="000C7A3A"/>
    <w:rsid w:val="000D381B"/>
    <w:rsid w:val="0012567D"/>
    <w:rsid w:val="00142326"/>
    <w:rsid w:val="001B793C"/>
    <w:rsid w:val="00200002"/>
    <w:rsid w:val="00254B17"/>
    <w:rsid w:val="00275E6F"/>
    <w:rsid w:val="00286798"/>
    <w:rsid w:val="002D41CB"/>
    <w:rsid w:val="002F2FFD"/>
    <w:rsid w:val="00330725"/>
    <w:rsid w:val="00331DA1"/>
    <w:rsid w:val="00336708"/>
    <w:rsid w:val="003435BE"/>
    <w:rsid w:val="003466AA"/>
    <w:rsid w:val="00381F68"/>
    <w:rsid w:val="00393997"/>
    <w:rsid w:val="003B2FA4"/>
    <w:rsid w:val="003D5238"/>
    <w:rsid w:val="003E253C"/>
    <w:rsid w:val="004026A9"/>
    <w:rsid w:val="004208DB"/>
    <w:rsid w:val="00435C8C"/>
    <w:rsid w:val="00455C96"/>
    <w:rsid w:val="00475624"/>
    <w:rsid w:val="00477415"/>
    <w:rsid w:val="004841C6"/>
    <w:rsid w:val="004C67AC"/>
    <w:rsid w:val="004C7381"/>
    <w:rsid w:val="004E20D7"/>
    <w:rsid w:val="00523D03"/>
    <w:rsid w:val="0055525C"/>
    <w:rsid w:val="00584F66"/>
    <w:rsid w:val="005B153D"/>
    <w:rsid w:val="005B4E41"/>
    <w:rsid w:val="005E67CE"/>
    <w:rsid w:val="00613152"/>
    <w:rsid w:val="006145D1"/>
    <w:rsid w:val="0062123B"/>
    <w:rsid w:val="006349B6"/>
    <w:rsid w:val="00650EC1"/>
    <w:rsid w:val="0069654E"/>
    <w:rsid w:val="006E7470"/>
    <w:rsid w:val="006F20C8"/>
    <w:rsid w:val="007214CF"/>
    <w:rsid w:val="00742BEE"/>
    <w:rsid w:val="00783BEF"/>
    <w:rsid w:val="007A51C0"/>
    <w:rsid w:val="007C10D7"/>
    <w:rsid w:val="007E2770"/>
    <w:rsid w:val="007E4049"/>
    <w:rsid w:val="008349F1"/>
    <w:rsid w:val="00877D17"/>
    <w:rsid w:val="008A6EBB"/>
    <w:rsid w:val="008E7CD7"/>
    <w:rsid w:val="00925038"/>
    <w:rsid w:val="00936B1D"/>
    <w:rsid w:val="00955913"/>
    <w:rsid w:val="00975B64"/>
    <w:rsid w:val="009B003B"/>
    <w:rsid w:val="009C0BD6"/>
    <w:rsid w:val="009F5F95"/>
    <w:rsid w:val="00A36FE2"/>
    <w:rsid w:val="00A51FFD"/>
    <w:rsid w:val="00AC46DF"/>
    <w:rsid w:val="00AC5334"/>
    <w:rsid w:val="00AD5346"/>
    <w:rsid w:val="00AE0CFA"/>
    <w:rsid w:val="00B070D8"/>
    <w:rsid w:val="00B3429C"/>
    <w:rsid w:val="00B371B3"/>
    <w:rsid w:val="00B4120F"/>
    <w:rsid w:val="00B842FE"/>
    <w:rsid w:val="00BB0DFD"/>
    <w:rsid w:val="00BC4278"/>
    <w:rsid w:val="00C00DE5"/>
    <w:rsid w:val="00C55134"/>
    <w:rsid w:val="00C700FD"/>
    <w:rsid w:val="00C87A27"/>
    <w:rsid w:val="00CB30E3"/>
    <w:rsid w:val="00CE68C1"/>
    <w:rsid w:val="00CF1A11"/>
    <w:rsid w:val="00D3452F"/>
    <w:rsid w:val="00DE2DD3"/>
    <w:rsid w:val="00EF09AF"/>
    <w:rsid w:val="00F20A45"/>
    <w:rsid w:val="00F6492C"/>
    <w:rsid w:val="00F85A1C"/>
    <w:rsid w:val="00FB4BD3"/>
    <w:rsid w:val="05D610DF"/>
    <w:rsid w:val="065A1D10"/>
    <w:rsid w:val="06A67EA4"/>
    <w:rsid w:val="082E5202"/>
    <w:rsid w:val="0C0A1F9B"/>
    <w:rsid w:val="0D006A41"/>
    <w:rsid w:val="0FA66577"/>
    <w:rsid w:val="0FBC5A72"/>
    <w:rsid w:val="122B27B2"/>
    <w:rsid w:val="12FD5DD7"/>
    <w:rsid w:val="199926F8"/>
    <w:rsid w:val="1AD5150D"/>
    <w:rsid w:val="1B012302"/>
    <w:rsid w:val="1B4A10AD"/>
    <w:rsid w:val="1C2A2D32"/>
    <w:rsid w:val="1ED63AA6"/>
    <w:rsid w:val="20324F3C"/>
    <w:rsid w:val="226662AA"/>
    <w:rsid w:val="2351194D"/>
    <w:rsid w:val="280708C9"/>
    <w:rsid w:val="287A0C44"/>
    <w:rsid w:val="31195DC3"/>
    <w:rsid w:val="317D457C"/>
    <w:rsid w:val="33525999"/>
    <w:rsid w:val="3CE21B3C"/>
    <w:rsid w:val="3F0B5BB4"/>
    <w:rsid w:val="41A60DA8"/>
    <w:rsid w:val="45184D0D"/>
    <w:rsid w:val="47D97FDF"/>
    <w:rsid w:val="4A382E56"/>
    <w:rsid w:val="4A7A2B24"/>
    <w:rsid w:val="539068EF"/>
    <w:rsid w:val="540006A2"/>
    <w:rsid w:val="59386640"/>
    <w:rsid w:val="607F428F"/>
    <w:rsid w:val="60C20B9E"/>
    <w:rsid w:val="63A457C1"/>
    <w:rsid w:val="64E2007C"/>
    <w:rsid w:val="66AB0265"/>
    <w:rsid w:val="673B1CC5"/>
    <w:rsid w:val="683A2BFF"/>
    <w:rsid w:val="68816BB1"/>
    <w:rsid w:val="6D5D7FA1"/>
    <w:rsid w:val="6E503E12"/>
    <w:rsid w:val="745968F1"/>
    <w:rsid w:val="749D12F1"/>
    <w:rsid w:val="757E20B9"/>
    <w:rsid w:val="75C76F14"/>
    <w:rsid w:val="7A2605B3"/>
    <w:rsid w:val="7A707A80"/>
    <w:rsid w:val="7BA06143"/>
    <w:rsid w:val="7C52753B"/>
    <w:rsid w:val="7CBB77E8"/>
    <w:rsid w:val="7E293389"/>
    <w:rsid w:val="7F772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2"/>
    <w:basedOn w:val="1"/>
    <w:next w:val="1"/>
    <w:link w:val="2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1"/>
    <w:pPr>
      <w:spacing w:before="32"/>
      <w:ind w:left="584"/>
    </w:pPr>
    <w:rPr>
      <w:rFonts w:ascii="宋体" w:hAnsi="宋体" w:eastAsia="宋体"/>
      <w:sz w:val="23"/>
      <w:szCs w:val="23"/>
    </w:rPr>
  </w:style>
  <w:style w:type="paragraph" w:styleId="4">
    <w:name w:val="footer"/>
    <w:basedOn w:val="1"/>
    <w:link w:val="21"/>
    <w:unhideWhenUsed/>
    <w:qFormat/>
    <w:uiPriority w:val="99"/>
    <w:pPr>
      <w:tabs>
        <w:tab w:val="center" w:pos="4153"/>
        <w:tab w:val="right" w:pos="8306"/>
      </w:tabs>
      <w:snapToGrid w:val="0"/>
    </w:pPr>
    <w:rPr>
      <w:sz w:val="18"/>
      <w:szCs w:val="18"/>
    </w:rPr>
  </w:style>
  <w:style w:type="paragraph" w:styleId="5">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next w:val="1"/>
    <w:link w:val="24"/>
    <w:qFormat/>
    <w:uiPriority w:val="10"/>
    <w:pPr>
      <w:spacing w:before="240" w:after="60"/>
      <w:jc w:val="center"/>
      <w:outlineLvl w:val="0"/>
    </w:pPr>
    <w:rPr>
      <w:rFonts w:eastAsia="宋体" w:asciiTheme="majorHAnsi" w:hAnsiTheme="majorHAnsi" w:cstheme="majorBidi"/>
      <w:b/>
      <w:bCs/>
      <w:sz w:val="32"/>
      <w:szCs w:val="32"/>
    </w:rPr>
  </w:style>
  <w:style w:type="table" w:styleId="8">
    <w:name w:val="Table Grid"/>
    <w:basedOn w:val="7"/>
    <w:qFormat/>
    <w:uiPriority w:val="59"/>
    <w:rPr>
      <w:kern w:val="2"/>
      <w:sz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
    <w:name w:val="Table Normal"/>
    <w:semiHidden/>
    <w:unhideWhenUsed/>
    <w:qFormat/>
    <w:uiPriority w:val="2"/>
    <w:tblPr>
      <w:tblCellMar>
        <w:top w:w="0" w:type="dxa"/>
        <w:left w:w="0" w:type="dxa"/>
        <w:bottom w:w="0" w:type="dxa"/>
        <w:right w:w="0" w:type="dxa"/>
      </w:tblCellMar>
    </w:tblPr>
  </w:style>
  <w:style w:type="paragraph" w:customStyle="1" w:styleId="11">
    <w:name w:val="标题 11"/>
    <w:basedOn w:val="1"/>
    <w:qFormat/>
    <w:uiPriority w:val="1"/>
    <w:pPr>
      <w:ind w:left="20"/>
      <w:outlineLvl w:val="1"/>
    </w:pPr>
    <w:rPr>
      <w:rFonts w:ascii="宋体" w:hAnsi="宋体" w:eastAsia="宋体"/>
      <w:sz w:val="69"/>
      <w:szCs w:val="69"/>
    </w:rPr>
  </w:style>
  <w:style w:type="paragraph" w:customStyle="1" w:styleId="12">
    <w:name w:val="标题 21"/>
    <w:basedOn w:val="1"/>
    <w:qFormat/>
    <w:uiPriority w:val="1"/>
    <w:pPr>
      <w:outlineLvl w:val="2"/>
    </w:pPr>
    <w:rPr>
      <w:rFonts w:ascii="宋体" w:hAnsi="宋体" w:eastAsia="宋体"/>
      <w:sz w:val="44"/>
      <w:szCs w:val="44"/>
    </w:rPr>
  </w:style>
  <w:style w:type="paragraph" w:customStyle="1" w:styleId="13">
    <w:name w:val="标题 31"/>
    <w:basedOn w:val="1"/>
    <w:qFormat/>
    <w:uiPriority w:val="1"/>
    <w:pPr>
      <w:outlineLvl w:val="3"/>
    </w:pPr>
    <w:rPr>
      <w:rFonts w:ascii="宋体" w:hAnsi="宋体" w:eastAsia="宋体"/>
      <w:sz w:val="34"/>
      <w:szCs w:val="34"/>
    </w:rPr>
  </w:style>
  <w:style w:type="paragraph" w:customStyle="1" w:styleId="14">
    <w:name w:val="标题 41"/>
    <w:basedOn w:val="1"/>
    <w:qFormat/>
    <w:uiPriority w:val="1"/>
    <w:pPr>
      <w:ind w:left="1742"/>
      <w:outlineLvl w:val="4"/>
    </w:pPr>
    <w:rPr>
      <w:rFonts w:ascii="宋体" w:hAnsi="宋体" w:eastAsia="宋体"/>
      <w:sz w:val="31"/>
      <w:szCs w:val="31"/>
    </w:rPr>
  </w:style>
  <w:style w:type="paragraph" w:customStyle="1" w:styleId="15">
    <w:name w:val="标题 51"/>
    <w:basedOn w:val="1"/>
    <w:qFormat/>
    <w:uiPriority w:val="1"/>
    <w:pPr>
      <w:ind w:left="20"/>
      <w:outlineLvl w:val="5"/>
    </w:pPr>
    <w:rPr>
      <w:rFonts w:ascii="宋体" w:hAnsi="宋体" w:eastAsia="宋体"/>
      <w:sz w:val="29"/>
      <w:szCs w:val="29"/>
    </w:rPr>
  </w:style>
  <w:style w:type="paragraph" w:customStyle="1" w:styleId="16">
    <w:name w:val="标题 61"/>
    <w:basedOn w:val="1"/>
    <w:qFormat/>
    <w:uiPriority w:val="1"/>
    <w:pPr>
      <w:outlineLvl w:val="6"/>
    </w:pPr>
    <w:rPr>
      <w:rFonts w:ascii="宋体" w:hAnsi="宋体" w:eastAsia="宋体"/>
      <w:sz w:val="27"/>
      <w:szCs w:val="27"/>
    </w:rPr>
  </w:style>
  <w:style w:type="paragraph" w:customStyle="1" w:styleId="17">
    <w:name w:val="标题 71"/>
    <w:basedOn w:val="1"/>
    <w:qFormat/>
    <w:uiPriority w:val="1"/>
    <w:pPr>
      <w:ind w:left="20"/>
      <w:outlineLvl w:val="7"/>
    </w:pPr>
    <w:rPr>
      <w:rFonts w:ascii="Times New Roman" w:hAnsi="Times New Roman" w:eastAsia="Times New Roman"/>
      <w:sz w:val="24"/>
      <w:szCs w:val="24"/>
    </w:rPr>
  </w:style>
  <w:style w:type="paragraph" w:styleId="18">
    <w:name w:val="List Paragraph"/>
    <w:basedOn w:val="1"/>
    <w:qFormat/>
    <w:uiPriority w:val="1"/>
  </w:style>
  <w:style w:type="paragraph" w:customStyle="1" w:styleId="19">
    <w:name w:val="Table Paragraph"/>
    <w:basedOn w:val="1"/>
    <w:qFormat/>
    <w:uiPriority w:val="1"/>
  </w:style>
  <w:style w:type="character" w:customStyle="1" w:styleId="20">
    <w:name w:val="页眉 Char"/>
    <w:basedOn w:val="9"/>
    <w:link w:val="5"/>
    <w:qFormat/>
    <w:uiPriority w:val="99"/>
    <w:rPr>
      <w:sz w:val="18"/>
      <w:szCs w:val="18"/>
    </w:rPr>
  </w:style>
  <w:style w:type="character" w:customStyle="1" w:styleId="21">
    <w:name w:val="页脚 Char"/>
    <w:basedOn w:val="9"/>
    <w:link w:val="4"/>
    <w:qFormat/>
    <w:uiPriority w:val="99"/>
    <w:rPr>
      <w:sz w:val="18"/>
      <w:szCs w:val="18"/>
    </w:rPr>
  </w:style>
  <w:style w:type="character" w:customStyle="1" w:styleId="22">
    <w:name w:val="标题 2 Char"/>
    <w:basedOn w:val="9"/>
    <w:link w:val="2"/>
    <w:qFormat/>
    <w:uiPriority w:val="9"/>
    <w:rPr>
      <w:rFonts w:asciiTheme="majorHAnsi" w:hAnsiTheme="majorHAnsi" w:eastAsiaTheme="majorEastAsia" w:cstheme="majorBidi"/>
      <w:b/>
      <w:bCs/>
      <w:sz w:val="32"/>
      <w:szCs w:val="32"/>
    </w:rPr>
  </w:style>
  <w:style w:type="character" w:customStyle="1" w:styleId="23">
    <w:name w:val="正文文本 Char"/>
    <w:basedOn w:val="9"/>
    <w:link w:val="3"/>
    <w:qFormat/>
    <w:uiPriority w:val="1"/>
    <w:rPr>
      <w:rFonts w:ascii="宋体" w:hAnsi="宋体" w:eastAsia="宋体"/>
      <w:sz w:val="23"/>
      <w:szCs w:val="23"/>
    </w:rPr>
  </w:style>
  <w:style w:type="character" w:customStyle="1" w:styleId="24">
    <w:name w:val="标题 Char"/>
    <w:basedOn w:val="9"/>
    <w:link w:val="6"/>
    <w:qFormat/>
    <w:uiPriority w:val="10"/>
    <w:rPr>
      <w:rFonts w:eastAsia="宋体" w:asciiTheme="majorHAnsi" w:hAnsiTheme="majorHAnsi" w:cstheme="majorBidi"/>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4275</Words>
  <Characters>4638</Characters>
  <Lines>36</Lines>
  <Paragraphs>10</Paragraphs>
  <TotalTime>12</TotalTime>
  <ScaleCrop>false</ScaleCrop>
  <LinksUpToDate>false</LinksUpToDate>
  <CharactersWithSpaces>4803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2018-03-30T05:02:00Z</dcterms:created>
  <dc:creator>DELL</dc:creator>
  <cp:lastModifiedBy>明生</cp:lastModifiedBy>
  <dcterms:modified xsi:type="dcterms:W3CDTF">2026-03-01T01:15:53Z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2015-05-23T00:00:00Z</vt:filetime>
  </property>
  <property fmtid="{D5CDD505-2E9C-101B-9397-08002B2CF9AE}" pid="3" name="LastSaved">
    <vt:filetime>2018-03-29T00:00:00Z</vt:filetime>
  </property>
  <property fmtid="{D5CDD505-2E9C-101B-9397-08002B2CF9AE}" pid="4" name="KSOProductBuildVer">
    <vt:lpwstr>2052-12.1.0.25225</vt:lpwstr>
  </property>
  <property fmtid="{D5CDD505-2E9C-101B-9397-08002B2CF9AE}" pid="5" name="ICV">
    <vt:lpwstr>95CCBCDB9F40424AA1C4195611759903_13</vt:lpwstr>
  </property>
  <property fmtid="{D5CDD505-2E9C-101B-9397-08002B2CF9AE}" pid="6" name="KSOTemplateDocerSaveRecord">
    <vt:lpwstr>eyJoZGlkIjoiMmYzYmY2YzNmYjEzNDM2OGIxMTBhMzQ0NjgxOTg2NWEiLCJ1c2VySWQiOiI2NjYxNjUxMDIifQ==</vt:lpwstr>
  </property>
</Properties>
</file>