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954E7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  <w:lang w:val="en-US" w:eastAsia="zh-CN"/>
        </w:rPr>
        <w:t>8万吨电解金属锰迁建技改项目配套110kV输、变电工程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监理技术规范书</w:t>
      </w:r>
    </w:p>
    <w:p w14:paraId="733C6F5B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 </w:t>
      </w:r>
    </w:p>
    <w:p w14:paraId="5B01360A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一、总则</w:t>
      </w:r>
    </w:p>
    <w:p w14:paraId="1A173C83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（一）项目概况</w:t>
      </w:r>
    </w:p>
    <w:p w14:paraId="7AF8135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</w:rPr>
        <w:t>本次监理招标范围包括但不限于：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8万吨电解金属锰迁建技改项目配套110kV输、变电工程</w:t>
      </w:r>
      <w:r>
        <w:rPr>
          <w:rFonts w:hint="eastAsia" w:ascii="仿宋" w:hAnsi="仿宋" w:eastAsia="仿宋" w:cs="仿宋"/>
          <w:sz w:val="24"/>
          <w:szCs w:val="32"/>
        </w:rPr>
        <w:t>的施工准备阶段、施工阶段、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调试验收阶段、</w:t>
      </w:r>
      <w:r>
        <w:rPr>
          <w:rFonts w:hint="eastAsia" w:ascii="仿宋" w:hAnsi="仿宋" w:eastAsia="仿宋" w:cs="仿宋"/>
          <w:sz w:val="24"/>
          <w:szCs w:val="32"/>
        </w:rPr>
        <w:t xml:space="preserve">竣工验收阶段及缺陷责任期的全部监理工作，具体涵盖图纸审查、质量控制、进度控制、投资控制、合同管理、信息管理、安全管理、现场协调及合同约定的其他监理服务。 </w:t>
      </w:r>
    </w:p>
    <w:p w14:paraId="045F98B0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 xml:space="preserve">（二）招标范围 </w:t>
      </w:r>
    </w:p>
    <w:p w14:paraId="45F8E90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本项目包括两部分核心内容：一是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8万吨电解金属锰迁建技改项目配套110kV变电工程 </w:t>
      </w:r>
      <w:r>
        <w:rPr>
          <w:rFonts w:hint="eastAsia" w:ascii="仿宋" w:hAnsi="仿宋" w:eastAsia="仿宋" w:cs="仿宋"/>
          <w:sz w:val="24"/>
          <w:szCs w:val="32"/>
        </w:rPr>
        <w:t>，涵盖图纸范围内的土建工程、设备进场验收、设备安装、非标制作、调试工程及其他附属工程的全流程建设；二是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8万吨电解金属锰迁建技改项目配套</w:t>
      </w:r>
      <w:r>
        <w:rPr>
          <w:rFonts w:hint="eastAsia" w:ascii="仿宋" w:hAnsi="仿宋" w:eastAsia="仿宋" w:cs="仿宋"/>
          <w:sz w:val="24"/>
          <w:szCs w:val="32"/>
        </w:rPr>
        <w:t>110kV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输电线路</w:t>
      </w:r>
      <w:r>
        <w:rPr>
          <w:rFonts w:hint="eastAsia" w:ascii="仿宋" w:hAnsi="仿宋" w:eastAsia="仿宋" w:cs="仿宋"/>
          <w:sz w:val="24"/>
          <w:szCs w:val="32"/>
        </w:rPr>
        <w:t>工程，包括塔基开挖、基础施工、杆塔组立、线路架设、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电缆敷设连接、接地</w:t>
      </w:r>
      <w:r>
        <w:rPr>
          <w:rFonts w:hint="eastAsia" w:ascii="仿宋" w:hAnsi="仿宋" w:eastAsia="仿宋" w:cs="仿宋"/>
          <w:sz w:val="24"/>
          <w:szCs w:val="32"/>
        </w:rPr>
        <w:t>测试及工程验收等工作。项目建设单位为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宁夏天元特钢有限公司</w:t>
      </w:r>
      <w:r>
        <w:rPr>
          <w:rFonts w:hint="eastAsia" w:ascii="仿宋" w:hAnsi="仿宋" w:eastAsia="仿宋" w:cs="仿宋"/>
          <w:sz w:val="24"/>
          <w:szCs w:val="32"/>
        </w:rPr>
        <w:t>，监理服务需覆盖项目从开工准备至竣工验收及资料归档的全过程。</w:t>
      </w:r>
    </w:p>
    <w:p w14:paraId="3C5859A4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（三）监理服务期限</w:t>
      </w:r>
    </w:p>
    <w:p w14:paraId="3A26517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监理服务期限自监理合同生效之日起，至项目竣工验收合格、竣工资料归档完成且缺陷责任期届满之日止，具体期限根据项目实际施工进度确定，包括因工程变更、不可抗力等因素导致的工期延长时段。</w:t>
      </w:r>
    </w:p>
    <w:p w14:paraId="2A93A5CE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（四）核心原则</w:t>
      </w:r>
    </w:p>
    <w:p w14:paraId="2B2411C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监理单位应严格遵守国家法律法规、行业规范及本技术规范书要求，秉持独立、公正、科学、诚信的原则履行监理职责。</w:t>
      </w:r>
    </w:p>
    <w:p w14:paraId="37D8A8CD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监理工作应围绕“三控、三管、一协调”</w:t>
      </w: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〔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三控</w:t>
      </w:r>
      <w:r>
        <w:rPr>
          <w:rFonts w:hint="eastAsia" w:ascii="仿宋" w:hAnsi="仿宋" w:eastAsia="仿宋" w:cs="仿宋"/>
          <w:sz w:val="24"/>
          <w:szCs w:val="24"/>
        </w:rPr>
        <w:t>：投资控制（审核工程变更、工程款支付，控制工程成本）、质量控制（全过程监督施工质量，确保工程符合设计及规范要求）、进度控制（核查施工进度计划，督促施工单位按计划推进工程）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三管</w:t>
      </w:r>
      <w:r>
        <w:rPr>
          <w:rFonts w:hint="eastAsia" w:ascii="仿宋" w:hAnsi="仿宋" w:eastAsia="仿宋" w:cs="仿宋"/>
          <w:sz w:val="24"/>
          <w:szCs w:val="24"/>
        </w:rPr>
        <w:t>：合同管理（监督合同履行，处理合同争议及索赔）、信息管理（收集整理监理资料，确保信息传递及时准确）、安全管理（监督施工单位落实安全生产措施，防范安全事故）；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一协调</w:t>
      </w:r>
      <w:r>
        <w:rPr>
          <w:rFonts w:hint="eastAsia" w:ascii="仿宋" w:hAnsi="仿宋" w:eastAsia="仿宋" w:cs="仿宋"/>
          <w:sz w:val="24"/>
          <w:szCs w:val="24"/>
        </w:rPr>
        <w:t>：协调招标人、施工单位、设计单位、设备供应商等各方之间的工作关系，解决工程实施过程中的矛盾及问题。</w:t>
      </w: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24"/>
          <w:szCs w:val="32"/>
        </w:rPr>
        <w:t>核心要求开展，确保项目质量、进度、投资目标实现，保障施工安全及合同顺利履行。</w:t>
      </w:r>
    </w:p>
    <w:p w14:paraId="2AED096D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监理单位及工作人员需严格遵守商业道德规范，不得从事任何损害建设单位利益的行为，恪守廉洁从业承诺。</w:t>
      </w:r>
    </w:p>
    <w:p w14:paraId="38100BED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 xml:space="preserve">二、监理依据 </w:t>
      </w:r>
    </w:p>
    <w:p w14:paraId="75541E1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国家及地方现行相关法律法规、行政法规及部门规章。</w:t>
      </w:r>
    </w:p>
    <w:p w14:paraId="7B17F08E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工程建设标准、规范及技术规程（包括施工规范、实验规范、建设工程验收规范、电力工程监理相关标准等）。</w:t>
      </w:r>
    </w:p>
    <w:p w14:paraId="3C44FCFF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本项目的勘察设计文件、施工图纸、设计交底纪要及设计变更文件。</w:t>
      </w:r>
    </w:p>
    <w:p w14:paraId="6594CEDE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 当地政府下发的各类项目文件、建设单位下发的各类项目通知及管理要求。</w:t>
      </w:r>
    </w:p>
    <w:p w14:paraId="4044F232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5. 本监理招标技术规范书、监理合同及委托人与第三方签订的与本项目相关的其他合同文件。</w:t>
      </w:r>
    </w:p>
    <w:p w14:paraId="0AA93C0A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6. 经批准的监理规划、监理实施细则及其他监理工作文件。</w:t>
      </w:r>
    </w:p>
    <w:p w14:paraId="56F46B33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 xml:space="preserve">三、监理机构及人员要求 </w:t>
      </w:r>
    </w:p>
    <w:p w14:paraId="78C2EA34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 xml:space="preserve">（一）监理机构设置 </w:t>
      </w:r>
    </w:p>
    <w:p w14:paraId="4462BCD8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监理单位应在合同生效后，按照相关规范及建设单位要求组建项目监理机构，明确组织架构、岗位职责及工作流程，报建设单位核备。</w:t>
      </w:r>
    </w:p>
    <w:p w14:paraId="2A9BA253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2. 项目监理机构应配备满足工作需要的检测设备、办公设施及通讯工具，确保监理工作高效开展。 </w:t>
      </w:r>
    </w:p>
    <w:p w14:paraId="6041536D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（二）人员配置要求</w:t>
      </w:r>
    </w:p>
    <w:p w14:paraId="0A2CE974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人员构成：现场监理人员按总监理工程师（可根据需要配备副总监）、专业监理工程师、监理员三个层次配备，且专业配置需覆盖土建工程、电力工程、设备安装、安全管理等相关专业。</w:t>
      </w:r>
    </w:p>
    <w:p w14:paraId="5B3DF1C6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资质要求：总监理工程师、专业监理工程师应具备相应执业资格及同类工程监理经验；监理员应经专业培训合格，具备上岗资格。</w:t>
      </w:r>
    </w:p>
    <w:p w14:paraId="2A04E38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数量要求：要求现场监理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32"/>
        </w:rPr>
        <w:t>人（总监、土建监理、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电气监理、资料员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32"/>
        </w:rPr>
        <w:t>根据实际施工进度随时按需更换</w:t>
      </w:r>
      <w:r>
        <w:rPr>
          <w:rFonts w:hint="eastAsia" w:ascii="仿宋" w:hAnsi="仿宋" w:eastAsia="仿宋" w:cs="仿宋"/>
          <w:sz w:val="24"/>
          <w:szCs w:val="32"/>
          <w:highlight w:val="none"/>
        </w:rPr>
        <w:t>，其中土建监理</w:t>
      </w:r>
      <w:r>
        <w:rPr>
          <w:rFonts w:hint="eastAsia" w:ascii="仿宋" w:hAnsi="仿宋" w:eastAsia="仿宋" w:cs="仿宋"/>
          <w:sz w:val="24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电气监理需</w:t>
      </w:r>
      <w:r>
        <w:rPr>
          <w:rFonts w:hint="eastAsia" w:ascii="仿宋" w:hAnsi="仿宋" w:eastAsia="仿宋" w:cs="仿宋"/>
          <w:sz w:val="24"/>
          <w:szCs w:val="32"/>
          <w:highlight w:val="none"/>
        </w:rPr>
        <w:t>常驻</w:t>
      </w:r>
      <w:r>
        <w:rPr>
          <w:rFonts w:hint="eastAsia" w:ascii="仿宋" w:hAnsi="仿宋" w:eastAsia="仿宋" w:cs="仿宋"/>
          <w:sz w:val="24"/>
          <w:szCs w:val="32"/>
          <w:highlight w:val="none"/>
          <w:lang w:val="en-US" w:eastAsia="zh-CN"/>
        </w:rPr>
        <w:t>且有负责施工安全的能力</w:t>
      </w:r>
      <w:r>
        <w:rPr>
          <w:rFonts w:hint="eastAsia" w:ascii="仿宋" w:hAnsi="仿宋" w:eastAsia="仿宋" w:cs="仿宋"/>
          <w:sz w:val="24"/>
          <w:szCs w:val="32"/>
          <w:highlight w:val="none"/>
        </w:rPr>
        <w:t>）；</w:t>
      </w:r>
      <w:r>
        <w:rPr>
          <w:rFonts w:hint="eastAsia" w:ascii="仿宋" w:hAnsi="仿宋" w:eastAsia="仿宋" w:cs="仿宋"/>
          <w:sz w:val="24"/>
          <w:szCs w:val="32"/>
        </w:rPr>
        <w:t>监理人员数量应满足现场监理工作需要，确保关键工序、重要部位全程有人监督。</w:t>
      </w:r>
    </w:p>
    <w:p w14:paraId="76D81806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 年龄要求：现场监理人员年龄不得超过65岁；60-65岁人员数量不得超过现场监理人员总数的20%，且需身体健康，能胜任现场监理工作。</w:t>
      </w:r>
    </w:p>
    <w:p w14:paraId="4D289E02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5. 稳定性要求：项目总监理工程师一般不得更换，因特殊原因需更换的，应提前21天书面通知建设单位并取得同意；更换专业监理工程师需提前7天通知建设单位并取得同意；其他监理人员更换需报建设单位备案，且替换人员资质、能力不得低于被替换人员。</w:t>
      </w:r>
    </w:p>
    <w:p w14:paraId="5AEF6308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6. 禁止性要求：监理人员不得参与可能与建设单位利益相冲突的任何活动；不得与施工单位发生不正当接触；不得作出有损建设单位利益的行为。 </w:t>
      </w:r>
    </w:p>
    <w:p w14:paraId="3C5C8610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（三）人员考核与更换</w:t>
      </w:r>
    </w:p>
    <w:p w14:paraId="6F9D6986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建设单位有权对进入现场的监理人员业务能力、工作态度、履职情况进行考核，考核不合格的有权要求监理单位更换。</w:t>
      </w:r>
    </w:p>
    <w:p w14:paraId="4A4A943E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监理人员出现三次不履行职责、不具备相应素质及职业道德等情形的，建设单位可要求监理单位立即更换。</w:t>
      </w:r>
    </w:p>
    <w:p w14:paraId="3546B238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 xml:space="preserve">四、监理工作内容及要求 </w:t>
      </w:r>
    </w:p>
    <w:p w14:paraId="7461F38A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 xml:space="preserve">（一）施工准备阶段监理 </w:t>
      </w:r>
    </w:p>
    <w:p w14:paraId="33B6B9A1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熟悉项目勘察设计文件，参加建设单位主持的图纸会审和设计交底会议，提出图纸审查意见。</w:t>
      </w:r>
    </w:p>
    <w:p w14:paraId="3D236555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审核施工单位提交的施工组织设计、专项施工方案（重点审查质量安全技术措施与工程建设强制性标准的符合性）、施工进度计划、施工现场质量管理体系及安全管理制度。</w:t>
      </w:r>
    </w:p>
    <w:p w14:paraId="0FB398A1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审核施工单位及分包单位的资质条件、项目经理及专职安全生产管理人员的资格证书。</w:t>
      </w:r>
    </w:p>
    <w:p w14:paraId="07A84D94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 检查施工单位试验室资质、试验设备校准情况及试验人员资格。</w:t>
      </w:r>
    </w:p>
    <w:p w14:paraId="5F0D894F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5. 查验施工单位的施工测量放线成果，确保符合设计要求。</w:t>
      </w:r>
    </w:p>
    <w:p w14:paraId="7F7C97EE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6. 编制监理规划、监理实施细则及监理见证方案，在开工前入场3天内提交建设单位核备；监理规划需经监理单位技术负责人批准，监理实施细则需经总监理工程师批准。</w:t>
      </w:r>
    </w:p>
    <w:p w14:paraId="3CBA8203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7. 审查工程开工条件，对满足开工要求的，签发开工令。</w:t>
      </w:r>
    </w:p>
    <w:p w14:paraId="5BD858AA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（二）施工阶段监理</w:t>
      </w:r>
    </w:p>
    <w:p w14:paraId="75B3AF90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 xml:space="preserve">1. 质量控制 </w:t>
      </w:r>
    </w:p>
    <w:p w14:paraId="5420F43C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建立“三检制”（自检、互检、交接检）监理验收机制，对工程质量进行全过程控制，重点把控见证点（W点）、停工待检点（H点）、旁站点（S点）的监督检查。</w:t>
      </w:r>
    </w:p>
    <w:p w14:paraId="10EC141C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核查进场工程材料、构配件、设备的质量证明文件（原始凭证、检测报告等），并按规定采取平行检验或见证取样方式进行抽检，合格后方可允许使用。</w:t>
      </w:r>
    </w:p>
    <w:p w14:paraId="67415802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对施工工序、工艺过程进行全程监督，检查施工单位是否按设计文件、施工规范及审批的方案施工，对关键工序、重要部位实施旁站监理并做好记录。</w:t>
      </w:r>
    </w:p>
    <w:p w14:paraId="178F1BB5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 验收隐蔽工程、分部分项工程，签署验收意见；对发现的质量缺陷，下达监理通知，要求施工单位限期整改，并跟踪复查整改结果。</w:t>
      </w:r>
    </w:p>
    <w:p w14:paraId="6B614CED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5. 审查施工单位提交的采用新材料、新工艺、新技术、新设备的论证材料及相关验收标准，确保技术可靠性。</w:t>
      </w:r>
    </w:p>
    <w:p w14:paraId="3DBBC4C1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6. 针对110kV锰自线塔迁移改造，重点监控塔基开挖尺寸、基础混凝土强度、杆塔组立精度、线路架设张力及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电缆敷设连接、</w:t>
      </w:r>
      <w:r>
        <w:rPr>
          <w:rFonts w:hint="eastAsia" w:ascii="仿宋" w:hAnsi="仿宋" w:eastAsia="仿宋" w:cs="仿宋"/>
          <w:sz w:val="24"/>
          <w:szCs w:val="32"/>
        </w:rPr>
        <w:t>绝缘测试等关键环节质量。</w:t>
      </w:r>
    </w:p>
    <w:p w14:paraId="76B6AF83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2. 进度控制</w:t>
      </w:r>
    </w:p>
    <w:p w14:paraId="038DB082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审核施工单位提交的施工进度计划及调整计划，分析进度计划的合理性与可行性，提出优化建议。</w:t>
      </w:r>
    </w:p>
    <w:p w14:paraId="2641034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定期检查施工进度执行情况，对比计划进度与实际进度差异，分析延误原因，督促施工单位采取纠偏措施。</w:t>
      </w:r>
    </w:p>
    <w:p w14:paraId="565316DF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协调解决影响进度的各类因素（如设计变更、材料供应、交叉施工等），确保项目按计划推进。</w:t>
      </w:r>
    </w:p>
    <w:p w14:paraId="327783FB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 每周、每月对进度情况进行汇总分析，在监理周报、月报中详细说明进度执行情况及后续控制措施。</w:t>
      </w:r>
    </w:p>
    <w:p w14:paraId="3DAB9EFC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3. 投资控制</w:t>
      </w:r>
    </w:p>
    <w:p w14:paraId="22EAA3FC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审核施工单位提交的工程款支付申请，核查工程计量数据及原始凭证的真实性、准确性，签发工程款支付证书并报建设单位审批。</w:t>
      </w:r>
    </w:p>
    <w:p w14:paraId="4E2681FB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审查工程变更申请，评估变更对投资的影响，提出合理的变更建议，按规定程序办理变更审批手续。</w:t>
      </w:r>
    </w:p>
    <w:p w14:paraId="5812BC9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控制工程索赔，审核施工单位提出的索赔申请，核实索赔理由及索赔费用，协调建设单位与施工单位达成索赔协议。</w:t>
      </w:r>
    </w:p>
    <w:p w14:paraId="7B3959C2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4. 定期对项目投资执行情况进行分析，预测投资风险，提出投资控制建议。 </w:t>
      </w:r>
    </w:p>
    <w:p w14:paraId="49CEF3AD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4. 安全管理</w:t>
      </w:r>
    </w:p>
    <w:p w14:paraId="7593A111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检查施工单位安全生产管理制度、组织机构及专职安全生产管理人员配备情况，督促施工单位落实安全生产责任制。</w:t>
      </w:r>
    </w:p>
    <w:p w14:paraId="5AF2CDBA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审查施工单位提交的安全专项施工方案（如高空作业、带电作业、基坑开挖等），确保符合安全规范要求。</w:t>
      </w:r>
    </w:p>
    <w:p w14:paraId="6CCD096A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定期巡视施工现场，检查安全防护设施、施工机械安全性能、作业人员安全防护措施落实情况，发现安全隐患及时要求施工单位整改，情节严重的下达工程暂停令。</w:t>
      </w:r>
    </w:p>
    <w:p w14:paraId="67B63B35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 参与安全事故调查处理，督促施工单位落实事故整改措施，编写安全事故监理报告。</w:t>
      </w:r>
    </w:p>
    <w:p w14:paraId="1F929AC8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5. 针对110kV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锰自线</w:t>
      </w:r>
      <w:r>
        <w:rPr>
          <w:rFonts w:hint="eastAsia" w:ascii="仿宋" w:hAnsi="仿宋" w:eastAsia="仿宋" w:cs="仿宋"/>
          <w:sz w:val="24"/>
          <w:szCs w:val="32"/>
        </w:rPr>
        <w:t>线路迁移改造，重点监控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电缆敷设连接、</w:t>
      </w:r>
      <w:r>
        <w:rPr>
          <w:rFonts w:hint="eastAsia" w:ascii="仿宋" w:hAnsi="仿宋" w:eastAsia="仿宋" w:cs="仿宋"/>
          <w:sz w:val="24"/>
          <w:szCs w:val="32"/>
        </w:rPr>
        <w:t>杆塔组立防倾倒措施、高空作业安全防护等。</w:t>
      </w:r>
    </w:p>
    <w:p w14:paraId="4B312153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5. 合同管理与信息管理</w:t>
      </w:r>
    </w:p>
    <w:p w14:paraId="19FB9DBC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跟踪监理合同及施工承包合同履行情况，记录合同执行过程中的各类事项（如工程变更、工期延误、费用调整等）。</w:t>
      </w:r>
    </w:p>
    <w:p w14:paraId="7D00164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协调处理建设单位与施工单位之间的合同争议，协助双方协商解决。</w:t>
      </w:r>
    </w:p>
    <w:p w14:paraId="0070EC64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建立健全监理信息管理制度，及时收集、整理、归档监理工作相关文件（图纸、报告、记录、通知等），确保信息真实、完整、可追溯。</w:t>
      </w:r>
    </w:p>
    <w:p w14:paraId="46D3BFE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 按规定向建设单位提交各类监理报告及台账，包括实验台账、质量缺陷台账、发放文件台账等。</w:t>
      </w:r>
    </w:p>
    <w:p w14:paraId="71861D70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6. 协调工作</w:t>
      </w:r>
    </w:p>
    <w:p w14:paraId="7E3CBC5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主持监理例会，根据工程需要主持或参加专题会议，协调建设单位、施工单位、设计单位等各方关系。</w:t>
      </w:r>
    </w:p>
    <w:p w14:paraId="2B4D5762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协调处理施工现场交叉作业、资源调配等问题，确保施工顺利进行。</w:t>
      </w:r>
    </w:p>
    <w:p w14:paraId="6ED89B06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及时传达建设单位的要求及相关通知，反馈施工单位的合理诉求。</w:t>
      </w:r>
    </w:p>
    <w:p w14:paraId="2FE8174E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（三）竣工验收阶段监理</w:t>
      </w:r>
    </w:p>
    <w:p w14:paraId="3B6B073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审查施工单位提交的竣工验收申请报告及竣工资料，核实工程完成情况及资料完整性、规范性。</w:t>
      </w:r>
    </w:p>
    <w:p w14:paraId="5BE09508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组织专业监理工程师编写工程质量评估报告，对工程质量作出客观评价。</w:t>
      </w:r>
    </w:p>
    <w:p w14:paraId="51EFF1C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参加建设单位组织的工程项目竣工验收，签署竣工验收意见，提出整改要求。</w:t>
      </w:r>
    </w:p>
    <w:p w14:paraId="646BBB31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 督促施工单位对竣工验收中发现的问题进行整改，并跟踪复查整改结果。</w:t>
      </w:r>
    </w:p>
    <w:p w14:paraId="28B89935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5. 竣工验收结束7天内，提交竣工验收报告、施工日志及相关竣工资料，均一式三份。</w:t>
      </w:r>
    </w:p>
    <w:p w14:paraId="69F716F4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（四）缺陷责任期监理</w:t>
      </w:r>
    </w:p>
    <w:p w14:paraId="17733F45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定期对工程质量进行回访，检查工程运行情况，记录缺陷部位及情况。</w:t>
      </w:r>
    </w:p>
    <w:p w14:paraId="61D349C8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督促施工单位对缺陷责任期内出现的工程质量缺陷进行及时修复，并对修复质量进行验收。</w:t>
      </w:r>
    </w:p>
    <w:p w14:paraId="600A6C9C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缺陷责任期届满后，出具缺陷责任期监理评估报告，协助建设单位办理工程移交手续。</w:t>
      </w:r>
    </w:p>
    <w:p w14:paraId="10FFA9AA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五、报告提交要求</w:t>
      </w:r>
    </w:p>
    <w:p w14:paraId="686478C1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（一）报告种类及内容</w:t>
      </w:r>
    </w:p>
    <w:p w14:paraId="2BE7834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监理规划、监理实施细则、监理见证方案：明确监理工作范围、依据、机构设置、人员职责、工作程序、方法及措施等。</w:t>
      </w:r>
    </w:p>
    <w:p w14:paraId="294B16BA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监理日报：每日上报，内容包括当日施工进展情况、监理工作内容、质量安全情况、存在问题及处理意见等。</w:t>
      </w:r>
    </w:p>
    <w:p w14:paraId="7BEC401F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监理周报：每周四提交，包括本周工程进度、质量、安全、投资情况，监理工作小结，下周工作计划及需协调解决的问题。</w:t>
      </w:r>
    </w:p>
    <w:p w14:paraId="748D2FC5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 监理月报：每月25日上报，详细说明当月工程进展、质量控制、进度控制、投资控制、安全管理、合同执行、问题处理及下月工作安排等。</w:t>
      </w:r>
    </w:p>
    <w:p w14:paraId="099B06B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5. 验收报告：节点验收完毕3天内上报，包括节点工程完成情况、质量验收结果、存在问题及整改要求等。</w:t>
      </w:r>
    </w:p>
    <w:p w14:paraId="293DC6A7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6. 专项报告：针对工程重大问题、质量安全事故、设计变更、索赔等事项编制，及时上报建设单位。</w:t>
      </w:r>
    </w:p>
    <w:p w14:paraId="06AA452B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7. 竣工相关报告：包括工程质量评估报告、竣工验收报告、缺陷责任期监理评估报告等。</w:t>
      </w:r>
    </w:p>
    <w:p w14:paraId="41DB3231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（二）提交要求</w:t>
      </w:r>
    </w:p>
    <w:p w14:paraId="2B91326A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所有报告及台账均需采用书面形式（包括数据电文），签字盖章齐全，内容真实、准确、完整。</w:t>
      </w:r>
    </w:p>
    <w:p w14:paraId="09D2CC81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按约定时间提交，逾期未提交的，每延迟一日支付200元违约金。</w:t>
      </w:r>
    </w:p>
    <w:p w14:paraId="55A33EBC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所有文件资料一式三份，建设单位留存两份，监理单位留存一份。</w:t>
      </w:r>
    </w:p>
    <w:p w14:paraId="0451D97E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六、设备及财产管理</w:t>
      </w:r>
    </w:p>
    <w:p w14:paraId="56C8F12E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监理单位无偿使用建设单位提供的房屋、设备等财产，所有权归属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宁夏华夏特钢有限公司</w:t>
      </w:r>
      <w:r>
        <w:rPr>
          <w:rFonts w:hint="eastAsia" w:ascii="仿宋" w:hAnsi="仿宋" w:eastAsia="仿宋" w:cs="仿宋"/>
          <w:sz w:val="24"/>
          <w:szCs w:val="32"/>
        </w:rPr>
        <w:t>。</w:t>
      </w:r>
    </w:p>
    <w:p w14:paraId="4B03A3E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监理单位应妥善保管、合理使用建设单位提供的财产，不得擅自转租、转借或损坏。</w:t>
      </w:r>
    </w:p>
    <w:p w14:paraId="754222FE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监理合同终止后7天内，监理单位应与建设单位当面交接所有无偿提供的房屋、设备，确保财产完好无损。</w:t>
      </w:r>
    </w:p>
    <w:p w14:paraId="39644403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七、违约责任与考核</w:t>
      </w:r>
    </w:p>
    <w:p w14:paraId="476BC73E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监理人员未按要求在现场作业或不在岗的，每次向建设单位支付5000元违约金。</w:t>
      </w:r>
    </w:p>
    <w:p w14:paraId="1CA7304D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监理单位未按合同要求配备工作人员，或经建设单位通知2次仍未整改的，建设单位有权单方解除合同，监理单位需返还已支付费用，并承担合同总价20%的违约金，造成损失的另行赔偿。</w:t>
      </w:r>
    </w:p>
    <w:p w14:paraId="1910108E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因监理单位过错造成工程经济损失的，监理单位应与施工单位承担连带赔偿责任，并支付合同总价20%的违约金。</w:t>
      </w:r>
    </w:p>
    <w:p w14:paraId="762DA60E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 发现施工中存在质量安全问题而监理人员未提出，造成经济损失的，每次罚款1000-10000元，同时赔偿经济损失并支付合同总价20%的违约金。</w:t>
      </w:r>
    </w:p>
    <w:p w14:paraId="76E81ED8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5. 监理单位违反商业道德承诺的，自愿向建设单位支付10万元惩罚金，并赔偿造成的损失，建设单位可直接从相关款项中扣除；若提供产品或服务价格高于市场正常价格，按高出价款（高出价款×数量）的10倍赔偿。</w:t>
      </w:r>
    </w:p>
    <w:p w14:paraId="13582711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6. 未经建设单位同意，监理单位擅自签发相关指令的，承担由此产生的法律后果，并支付合同总价20%的违约金。</w:t>
      </w:r>
    </w:p>
    <w:p w14:paraId="26DE041B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7. 因监理单位原因导致建设单位解除合同的，监理单位应在通知生效后7日内退出场地，每迟延一日支付10000元违约金。</w:t>
      </w:r>
    </w:p>
    <w:p w14:paraId="1D0D6200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八、保密要求</w:t>
      </w:r>
    </w:p>
    <w:p w14:paraId="4D661485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监理单位及工作人员不得泄露建设单位申明的保密资料，不得泄露与本项目相关的第三方提供的保密资料。</w:t>
      </w:r>
    </w:p>
    <w:p w14:paraId="6C44059D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未经建设单位书面同意，监理单位不得向第三方泄露涉及建设单位商业秘密、未公开信息及本项目相关言论。</w:t>
      </w:r>
    </w:p>
    <w:p w14:paraId="562EE03D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 xml:space="preserve">九、验收标准 </w:t>
      </w:r>
    </w:p>
    <w:p w14:paraId="344F1DB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工程质量验收应符合国家现行《建设工程质量管理条例》《电力工程施工质量验收规范》等相关标准及设计文件要求，确保工程达到合格及以上标准。</w:t>
      </w:r>
    </w:p>
    <w:p w14:paraId="45C03116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2. 监理工作验收应符合本技术规范书及监理合同约定的各项要求，监理资料齐全、规范，监理工作满足项目建设需要。 </w:t>
      </w:r>
    </w:p>
    <w:p w14:paraId="19BA89E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十、其他 </w:t>
      </w:r>
    </w:p>
    <w:p w14:paraId="39A8601F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 监理人员外出考察、材料设备检测、组织咨询论证会及聘请专家等发生的费用由监理单位承担。</w:t>
      </w:r>
    </w:p>
    <w:p w14:paraId="6F881AE7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 监理单位在服务过程中提出的合理化建议，使建设单位获得经济效益的，双方另行约定奖励金额，与最近一期正常工作酬金同期支付。</w:t>
      </w:r>
    </w:p>
    <w:p w14:paraId="4144EFFA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 监理单位对其编制的监理文件拥有著作权，未经建设单位同意，不得在合同履行期间及终止后两年内出版涉及本项目的监理资料。</w:t>
      </w:r>
    </w:p>
    <w:p w14:paraId="6661D32F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 本技术规范书未尽事宜，按国家相关法律法规、规范标准及监理合同约定执行。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27597"/>
    <w:rsid w:val="01763BCE"/>
    <w:rsid w:val="04827597"/>
    <w:rsid w:val="093333E8"/>
    <w:rsid w:val="0ADD4EFD"/>
    <w:rsid w:val="0D1A0E13"/>
    <w:rsid w:val="16557DFE"/>
    <w:rsid w:val="167270ED"/>
    <w:rsid w:val="2A5F68D0"/>
    <w:rsid w:val="2D524C40"/>
    <w:rsid w:val="32780CA4"/>
    <w:rsid w:val="38011FAA"/>
    <w:rsid w:val="40157CCE"/>
    <w:rsid w:val="42AF55D1"/>
    <w:rsid w:val="553F6946"/>
    <w:rsid w:val="580357FE"/>
    <w:rsid w:val="5E30301E"/>
    <w:rsid w:val="64FE29DC"/>
    <w:rsid w:val="65C15EE3"/>
    <w:rsid w:val="66540B05"/>
    <w:rsid w:val="6DEC3D19"/>
    <w:rsid w:val="70E160E9"/>
    <w:rsid w:val="750A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5280</Words>
  <Characters>5435</Characters>
  <Lines>0</Lines>
  <Paragraphs>0</Paragraphs>
  <TotalTime>8</TotalTime>
  <ScaleCrop>false</ScaleCrop>
  <LinksUpToDate>false</LinksUpToDate>
  <CharactersWithSpaces>5556</CharactersWithSpaces>
  <Application>WPS Office_12.1.0.20754_F1E327BC-269C-435d-A152-05C5408002CA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2025-11-14T07:40:00Z</dcterms:created>
  <dc:creator>ベ小阿男丶</dc:creator>
  <cp:lastModifiedBy>刘滨源</cp:lastModifiedBy>
  <dcterms:modified xsi:type="dcterms:W3CDTF">2026-03-24T08:09:07Z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ICV">
    <vt:lpwstr>943EA07864624562BC24938A5C99A9A7_13</vt:lpwstr>
  </property>
  <property fmtid="{D5CDD505-2E9C-101B-9397-08002B2CF9AE}" pid="4" name="KSOTemplateDocerSaveRecord">
    <vt:lpwstr>eyJoZGlkIjoiNTUwNTcyMjIzN2RmN2EyOWNjNWU0YjIyNWNiZDNkNDYiLCJ1c2VySWQiOiI1NTE2MzE0ODUifQ==</vt:lpwstr>
  </property>
</Properties>
</file>