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EF6DD3F">
      <w:pPr>
        <w:pStyle w:val="4"/>
        <w:spacing w:line="288" w:lineRule="auto"/>
        <w:ind w:firstLine="2168" w:firstLineChars="600"/>
        <w:jc w:val="both"/>
        <w:rPr>
          <w:rFonts w:hint="eastAsia" w:asciiTheme="minorEastAsia" w:hAnsiTheme="minorEastAsia" w:eastAsiaTheme="minorEastAsia" w:cstheme="minorEastAsia"/>
          <w:sz w:val="36"/>
          <w:szCs w:val="36"/>
          <w:highlight w:val="none"/>
          <w:lang w:eastAsia="zh-CN"/>
        </w:rPr>
      </w:pP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sz w:val="36"/>
          <w:szCs w:val="36"/>
          <w:highlight w:val="none"/>
          <w:lang w:eastAsia="zh-CN"/>
        </w:rPr>
        <w:t>宁夏华夏特钢有限公司</w:t>
      </w:r>
    </w:p>
    <w:p w14:paraId="66BC1005">
      <w:pPr>
        <w:pStyle w:val="4"/>
        <w:spacing w:line="288" w:lineRule="auto"/>
        <w:ind w:firstLine="1446" w:firstLineChars="400"/>
        <w:jc w:val="both"/>
        <w:rPr>
          <w:rFonts w:hint="eastAsia" w:asciiTheme="minorEastAsia" w:hAnsiTheme="minorEastAsia" w:eastAsiaTheme="minorEastAsia" w:cstheme="minorEastAsia"/>
          <w:sz w:val="36"/>
          <w:szCs w:val="36"/>
          <w:highlight w:val="none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36"/>
          <w:szCs w:val="36"/>
          <w:highlight w:val="none"/>
          <w:lang w:eastAsia="zh-CN"/>
        </w:rPr>
        <w:t>直流电弧炉生产中低碳锰铁技改项目</w:t>
      </w:r>
    </w:p>
    <w:p w14:paraId="6569F9FA">
      <w:pPr>
        <w:pStyle w:val="4"/>
        <w:spacing w:line="288" w:lineRule="auto"/>
        <w:ind w:firstLine="1084" w:firstLineChars="300"/>
        <w:jc w:val="both"/>
        <w:rPr>
          <w:rFonts w:hint="eastAsia" w:asciiTheme="minorEastAsia" w:hAnsiTheme="minorEastAsia" w:eastAsiaTheme="minorEastAsia" w:cstheme="minorEastAsia"/>
          <w:sz w:val="36"/>
          <w:szCs w:val="36"/>
          <w:lang w:eastAsia="zh-CN"/>
        </w:rPr>
      </w:pPr>
      <w:r>
        <w:rPr>
          <w:rFonts w:hint="eastAsia" w:asciiTheme="minorEastAsia" w:hAnsiTheme="minorEastAsia" w:eastAsiaTheme="minorEastAsia" w:cstheme="minorEastAsia"/>
          <w:b/>
          <w:color w:val="000000"/>
          <w:sz w:val="36"/>
          <w:szCs w:val="36"/>
        </w:rPr>
        <w:t>2</w:t>
      </w:r>
      <w:r>
        <w:rPr>
          <w:rFonts w:hint="eastAsia" w:asciiTheme="minorEastAsia" w:hAnsiTheme="minorEastAsia" w:eastAsiaTheme="minorEastAsia" w:cstheme="minorEastAsia"/>
          <w:b/>
          <w:color w:val="000000"/>
          <w:sz w:val="36"/>
          <w:szCs w:val="36"/>
          <w:lang w:val="en-US" w:eastAsia="zh-CN"/>
        </w:rPr>
        <w:t>5</w:t>
      </w:r>
      <w:r>
        <w:rPr>
          <w:rFonts w:hint="eastAsia" w:asciiTheme="minorEastAsia" w:hAnsiTheme="minorEastAsia" w:eastAsiaTheme="minorEastAsia" w:cstheme="minorEastAsia"/>
          <w:b/>
          <w:color w:val="000000"/>
          <w:sz w:val="36"/>
          <w:szCs w:val="36"/>
        </w:rPr>
        <w:t>t门式起重机（龙门吊）采购技术</w:t>
      </w:r>
      <w:r>
        <w:rPr>
          <w:rFonts w:hint="eastAsia" w:asciiTheme="minorEastAsia" w:hAnsiTheme="minorEastAsia" w:eastAsiaTheme="minorEastAsia" w:cstheme="minorEastAsia"/>
          <w:b/>
          <w:color w:val="000000"/>
          <w:sz w:val="36"/>
          <w:szCs w:val="36"/>
          <w:lang w:eastAsia="zh-CN"/>
        </w:rPr>
        <w:t>规格书</w:t>
      </w:r>
    </w:p>
    <w:p w14:paraId="0172FE05">
      <w:pPr>
        <w:pStyle w:val="5"/>
        <w:spacing w:line="288" w:lineRule="auto"/>
        <w:jc w:val="left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/>
          <w:color w:val="000000"/>
          <w:sz w:val="28"/>
          <w:szCs w:val="28"/>
        </w:rPr>
        <w:t>1. 总则</w:t>
      </w:r>
    </w:p>
    <w:p w14:paraId="029D4035">
      <w:pPr>
        <w:spacing w:line="288" w:lineRule="auto"/>
        <w:ind w:firstLine="560" w:firstLineChars="200"/>
        <w:jc w:val="left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8"/>
          <w:szCs w:val="28"/>
        </w:rPr>
        <w:t>1.1 本技术规格书适用于宁夏华夏特钢有限公司</w:t>
      </w:r>
      <w:r>
        <w:rPr>
          <w:rFonts w:hint="eastAsia" w:asciiTheme="minorEastAsia" w:hAnsiTheme="minorEastAsia" w:eastAsiaTheme="minorEastAsia" w:cstheme="minorEastAsia"/>
          <w:color w:val="000000"/>
          <w:sz w:val="28"/>
          <w:szCs w:val="28"/>
          <w:lang w:val="en-US" w:eastAsia="zh-CN"/>
        </w:rPr>
        <w:t>直流电弧炉生产中低碳锰铁技改项目</w:t>
      </w:r>
      <w:r>
        <w:rPr>
          <w:rFonts w:hint="eastAsia" w:asciiTheme="minorEastAsia" w:hAnsiTheme="minorEastAsia" w:eastAsiaTheme="minorEastAsia" w:cstheme="minorEastAsia"/>
          <w:color w:val="000000"/>
          <w:sz w:val="28"/>
          <w:szCs w:val="28"/>
        </w:rPr>
        <w:t>中，用于吊装转运渣包的</w:t>
      </w:r>
      <w:r>
        <w:rPr>
          <w:rFonts w:hint="eastAsia" w:asciiTheme="minorEastAsia" w:hAnsiTheme="minorEastAsia" w:eastAsiaTheme="minorEastAsia" w:cstheme="minorEastAsia"/>
          <w:b/>
          <w:color w:val="000000"/>
          <w:sz w:val="28"/>
          <w:szCs w:val="28"/>
        </w:rPr>
        <w:t>2</w:t>
      </w:r>
      <w:r>
        <w:rPr>
          <w:rFonts w:hint="eastAsia" w:asciiTheme="minorEastAsia" w:hAnsiTheme="minorEastAsia" w:eastAsiaTheme="minorEastAsia" w:cstheme="minorEastAsia"/>
          <w:b/>
          <w:color w:val="000000"/>
          <w:sz w:val="28"/>
          <w:szCs w:val="28"/>
          <w:lang w:val="en-US" w:eastAsia="zh-CN"/>
        </w:rPr>
        <w:t>5</w:t>
      </w:r>
      <w:r>
        <w:rPr>
          <w:rFonts w:hint="eastAsia" w:asciiTheme="minorEastAsia" w:hAnsiTheme="minorEastAsia" w:eastAsiaTheme="minorEastAsia" w:cstheme="minorEastAsia"/>
          <w:b/>
          <w:color w:val="000000"/>
          <w:sz w:val="28"/>
          <w:szCs w:val="28"/>
        </w:rPr>
        <w:t>t门式起重机</w:t>
      </w:r>
      <w:r>
        <w:rPr>
          <w:rFonts w:hint="eastAsia" w:asciiTheme="minorEastAsia" w:hAnsiTheme="minorEastAsia" w:eastAsiaTheme="minorEastAsia" w:cstheme="minorEastAsia"/>
          <w:color w:val="000000"/>
          <w:sz w:val="28"/>
          <w:szCs w:val="28"/>
        </w:rPr>
        <w:t>（龙门吊）的采购。鉴于作业对象（渣包）温度较高，</w:t>
      </w:r>
      <w:r>
        <w:rPr>
          <w:rFonts w:hint="eastAsia" w:asciiTheme="minorEastAsia" w:hAnsiTheme="minorEastAsia" w:eastAsiaTheme="minorEastAsia" w:cstheme="minorEastAsia"/>
          <w:b/>
          <w:color w:val="000000"/>
          <w:sz w:val="28"/>
          <w:szCs w:val="28"/>
        </w:rPr>
        <w:t>该起重机的部分安全要求须遵循吊运炽热（或熔融）金属起重机的相关规范</w:t>
      </w:r>
      <w:r>
        <w:rPr>
          <w:rFonts w:hint="eastAsia" w:asciiTheme="minorEastAsia" w:hAnsiTheme="minorEastAsia" w:eastAsiaTheme="minorEastAsia" w:cstheme="minorEastAsia"/>
          <w:color w:val="000000"/>
          <w:sz w:val="28"/>
          <w:szCs w:val="28"/>
        </w:rPr>
        <w:t>。</w:t>
      </w:r>
    </w:p>
    <w:p w14:paraId="7019AF74">
      <w:pPr>
        <w:spacing w:line="288" w:lineRule="auto"/>
        <w:ind w:firstLine="560" w:firstLineChars="200"/>
        <w:jc w:val="left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8"/>
          <w:szCs w:val="28"/>
        </w:rPr>
        <w:t>1.2 设备的设计、制造、检验必须严格遵守但不限于下列规范：</w:t>
      </w:r>
    </w:p>
    <w:p w14:paraId="43153895">
      <w:pPr>
        <w:numPr>
          <w:ilvl w:val="0"/>
          <w:numId w:val="1"/>
        </w:numPr>
        <w:spacing w:line="288" w:lineRule="auto"/>
        <w:ind w:firstLine="562" w:firstLineChars="200"/>
        <w:jc w:val="left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/>
          <w:color w:val="000000"/>
          <w:sz w:val="28"/>
          <w:szCs w:val="28"/>
        </w:rPr>
        <w:t>JB/T 7688.5 《冶金起重机技术条件》</w:t>
      </w:r>
    </w:p>
    <w:p w14:paraId="6D0F8A9A">
      <w:pPr>
        <w:numPr>
          <w:ilvl w:val="0"/>
          <w:numId w:val="1"/>
        </w:numPr>
        <w:spacing w:line="288" w:lineRule="auto"/>
        <w:ind w:firstLine="562" w:firstLineChars="200"/>
        <w:jc w:val="left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/>
          <w:color w:val="000000"/>
          <w:sz w:val="28"/>
          <w:szCs w:val="28"/>
        </w:rPr>
        <w:t>AQ 7011 《高温熔融金属吊运安全规程》及 TSG 51-2023</w:t>
      </w:r>
    </w:p>
    <w:p w14:paraId="4986EA90">
      <w:pPr>
        <w:numPr>
          <w:ilvl w:val="0"/>
          <w:numId w:val="1"/>
        </w:numPr>
        <w:spacing w:line="288" w:lineRule="auto"/>
        <w:ind w:firstLine="560" w:firstLineChars="200"/>
        <w:jc w:val="left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8"/>
          <w:szCs w:val="28"/>
        </w:rPr>
        <w:t>GB/T 3811-2008 《起重机设计规范》</w:t>
      </w:r>
    </w:p>
    <w:p w14:paraId="72386075">
      <w:pPr>
        <w:numPr>
          <w:ilvl w:val="0"/>
          <w:numId w:val="1"/>
        </w:numPr>
        <w:spacing w:line="288" w:lineRule="auto"/>
        <w:ind w:firstLine="560" w:firstLineChars="200"/>
        <w:jc w:val="left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8"/>
          <w:szCs w:val="28"/>
        </w:rPr>
        <w:t>GB/T 6067.1-2010 《起重机械安全规程》</w:t>
      </w:r>
    </w:p>
    <w:p w14:paraId="481F5CFF">
      <w:pPr>
        <w:pStyle w:val="5"/>
        <w:spacing w:line="288" w:lineRule="auto"/>
        <w:jc w:val="left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/>
          <w:color w:val="000000"/>
          <w:sz w:val="28"/>
          <w:szCs w:val="28"/>
        </w:rPr>
        <w:t>2. 设备主要技术参数</w:t>
      </w:r>
    </w:p>
    <w:tbl>
      <w:tblPr>
        <w:tblStyle w:val="11"/>
        <w:tblW w:w="5000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37"/>
        <w:gridCol w:w="7450"/>
      </w:tblGrid>
      <w:tr w14:paraId="1C56F10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9" w:type="pct"/>
            <w:tcBorders>
              <w:top w:val="single" w:color="222222" w:sz="6" w:space="0"/>
              <w:left w:val="single" w:color="222222" w:sz="6" w:space="0"/>
              <w:bottom w:val="single" w:color="222222" w:sz="6" w:space="0"/>
              <w:right w:val="single" w:color="222222" w:sz="6" w:space="0"/>
            </w:tcBorders>
          </w:tcPr>
          <w:p w14:paraId="3920C86C">
            <w:pPr>
              <w:spacing w:line="288" w:lineRule="auto"/>
              <w:jc w:val="left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color w:val="000000"/>
                <w:sz w:val="28"/>
                <w:szCs w:val="28"/>
              </w:rPr>
              <w:t>项目</w:t>
            </w:r>
          </w:p>
        </w:tc>
        <w:tc>
          <w:tcPr>
            <w:tcW w:w="4010" w:type="pct"/>
            <w:tcBorders>
              <w:top w:val="single" w:color="222222" w:sz="6" w:space="0"/>
              <w:left w:val="single" w:color="222222" w:sz="6" w:space="0"/>
              <w:bottom w:val="single" w:color="222222" w:sz="6" w:space="0"/>
              <w:right w:val="single" w:color="222222" w:sz="6" w:space="0"/>
            </w:tcBorders>
          </w:tcPr>
          <w:p w14:paraId="21214B09">
            <w:pPr>
              <w:spacing w:line="288" w:lineRule="auto"/>
              <w:jc w:val="left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color w:val="000000"/>
                <w:sz w:val="28"/>
                <w:szCs w:val="28"/>
              </w:rPr>
              <w:t>规格与要求</w:t>
            </w:r>
          </w:p>
        </w:tc>
      </w:tr>
      <w:tr w14:paraId="512D517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9" w:type="pct"/>
            <w:tcBorders>
              <w:top w:val="single" w:color="222222" w:sz="6" w:space="0"/>
              <w:left w:val="single" w:color="222222" w:sz="6" w:space="0"/>
              <w:bottom w:val="single" w:color="222222" w:sz="6" w:space="0"/>
              <w:right w:val="single" w:color="222222" w:sz="6" w:space="0"/>
            </w:tcBorders>
          </w:tcPr>
          <w:p w14:paraId="4E5FA6C3">
            <w:pPr>
              <w:spacing w:line="288" w:lineRule="auto"/>
              <w:jc w:val="left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color w:val="000000"/>
                <w:sz w:val="28"/>
                <w:szCs w:val="28"/>
              </w:rPr>
              <w:t>设备名称</w:t>
            </w:r>
          </w:p>
        </w:tc>
        <w:tc>
          <w:tcPr>
            <w:tcW w:w="4010" w:type="pct"/>
            <w:tcBorders>
              <w:top w:val="single" w:color="222222" w:sz="6" w:space="0"/>
              <w:left w:val="single" w:color="222222" w:sz="6" w:space="0"/>
              <w:bottom w:val="single" w:color="222222" w:sz="6" w:space="0"/>
              <w:right w:val="single" w:color="222222" w:sz="6" w:space="0"/>
            </w:tcBorders>
          </w:tcPr>
          <w:p w14:paraId="11F161AB">
            <w:pPr>
              <w:spacing w:line="288" w:lineRule="auto"/>
              <w:jc w:val="left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8"/>
                <w:szCs w:val="28"/>
              </w:rPr>
              <w:t>双梁门式起重机</w:t>
            </w:r>
          </w:p>
        </w:tc>
      </w:tr>
      <w:tr w14:paraId="448F64F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9" w:type="pct"/>
            <w:tcBorders>
              <w:top w:val="single" w:color="222222" w:sz="6" w:space="0"/>
              <w:left w:val="single" w:color="222222" w:sz="6" w:space="0"/>
              <w:bottom w:val="single" w:color="222222" w:sz="6" w:space="0"/>
              <w:right w:val="single" w:color="222222" w:sz="6" w:space="0"/>
            </w:tcBorders>
          </w:tcPr>
          <w:p w14:paraId="1F364C60">
            <w:pPr>
              <w:spacing w:line="288" w:lineRule="auto"/>
              <w:jc w:val="left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color w:val="000000"/>
                <w:sz w:val="28"/>
                <w:szCs w:val="28"/>
              </w:rPr>
              <w:t>额定起重量</w:t>
            </w:r>
          </w:p>
        </w:tc>
        <w:tc>
          <w:tcPr>
            <w:tcW w:w="4010" w:type="pct"/>
            <w:tcBorders>
              <w:top w:val="single" w:color="222222" w:sz="6" w:space="0"/>
              <w:left w:val="single" w:color="222222" w:sz="6" w:space="0"/>
              <w:bottom w:val="single" w:color="222222" w:sz="6" w:space="0"/>
              <w:right w:val="single" w:color="222222" w:sz="6" w:space="0"/>
            </w:tcBorders>
          </w:tcPr>
          <w:p w14:paraId="02E48686">
            <w:pPr>
              <w:spacing w:line="288" w:lineRule="auto"/>
              <w:jc w:val="left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8"/>
                <w:szCs w:val="28"/>
              </w:rPr>
              <w:t>主钩 2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8"/>
                <w:szCs w:val="28"/>
                <w:lang w:val="en-US" w:eastAsia="zh-CN"/>
              </w:rPr>
              <w:t>5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8"/>
                <w:szCs w:val="28"/>
              </w:rPr>
              <w:t xml:space="preserve"> t 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8"/>
                <w:szCs w:val="28"/>
                <w:lang w:eastAsia="zh-CN"/>
              </w:rPr>
              <w:t>副钩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8"/>
                <w:szCs w:val="28"/>
                <w:lang w:val="en-US" w:eastAsia="zh-CN"/>
              </w:rPr>
              <w:t>5t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8"/>
                <w:szCs w:val="28"/>
              </w:rPr>
              <w:t>(卷扬起升机构)</w:t>
            </w:r>
          </w:p>
        </w:tc>
      </w:tr>
      <w:tr w14:paraId="5DAE2B4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9" w:type="pct"/>
            <w:tcBorders>
              <w:top w:val="single" w:color="222222" w:sz="6" w:space="0"/>
              <w:left w:val="single" w:color="222222" w:sz="6" w:space="0"/>
              <w:bottom w:val="single" w:color="222222" w:sz="6" w:space="0"/>
              <w:right w:val="single" w:color="222222" w:sz="6" w:space="0"/>
            </w:tcBorders>
          </w:tcPr>
          <w:p w14:paraId="732F68C1">
            <w:pPr>
              <w:spacing w:line="288" w:lineRule="auto"/>
              <w:jc w:val="left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color w:val="000000"/>
                <w:sz w:val="28"/>
                <w:szCs w:val="28"/>
              </w:rPr>
              <w:t>跨度</w:t>
            </w:r>
          </w:p>
        </w:tc>
        <w:tc>
          <w:tcPr>
            <w:tcW w:w="4010" w:type="pct"/>
            <w:tcBorders>
              <w:top w:val="single" w:color="222222" w:sz="6" w:space="0"/>
              <w:left w:val="single" w:color="222222" w:sz="6" w:space="0"/>
              <w:bottom w:val="single" w:color="222222" w:sz="6" w:space="0"/>
              <w:right w:val="single" w:color="222222" w:sz="6" w:space="0"/>
            </w:tcBorders>
          </w:tcPr>
          <w:p w14:paraId="04330382">
            <w:pPr>
              <w:spacing w:line="288" w:lineRule="auto"/>
              <w:jc w:val="left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8"/>
                <w:szCs w:val="28"/>
                <w:lang w:val="en-US" w:eastAsia="zh-CN"/>
              </w:rPr>
              <w:t>12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8"/>
                <w:szCs w:val="28"/>
              </w:rPr>
              <w:t>m</w:t>
            </w:r>
          </w:p>
        </w:tc>
      </w:tr>
      <w:tr w14:paraId="4C357E0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9" w:type="pct"/>
            <w:tcBorders>
              <w:top w:val="single" w:color="222222" w:sz="6" w:space="0"/>
              <w:left w:val="single" w:color="222222" w:sz="6" w:space="0"/>
              <w:bottom w:val="single" w:color="222222" w:sz="6" w:space="0"/>
              <w:right w:val="single" w:color="222222" w:sz="6" w:space="0"/>
            </w:tcBorders>
          </w:tcPr>
          <w:p w14:paraId="7C523F7E">
            <w:pPr>
              <w:spacing w:line="288" w:lineRule="auto"/>
              <w:jc w:val="left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color w:val="000000"/>
                <w:sz w:val="28"/>
                <w:szCs w:val="28"/>
              </w:rPr>
              <w:t>起升高度</w:t>
            </w:r>
          </w:p>
        </w:tc>
        <w:tc>
          <w:tcPr>
            <w:tcW w:w="4010" w:type="pct"/>
            <w:tcBorders>
              <w:top w:val="single" w:color="222222" w:sz="6" w:space="0"/>
              <w:left w:val="single" w:color="222222" w:sz="6" w:space="0"/>
              <w:bottom w:val="single" w:color="222222" w:sz="6" w:space="0"/>
              <w:right w:val="single" w:color="222222" w:sz="6" w:space="0"/>
            </w:tcBorders>
          </w:tcPr>
          <w:p w14:paraId="603827A2">
            <w:pPr>
              <w:spacing w:line="288" w:lineRule="auto"/>
              <w:jc w:val="left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8"/>
                <w:szCs w:val="28"/>
              </w:rPr>
              <w:t>≥ 6 m (从地面算起，具体以满足翻包机等设备操作需求为准)</w:t>
            </w:r>
          </w:p>
        </w:tc>
      </w:tr>
      <w:tr w14:paraId="52BCF5A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9" w:type="pct"/>
            <w:tcBorders>
              <w:top w:val="single" w:color="222222" w:sz="6" w:space="0"/>
              <w:left w:val="single" w:color="222222" w:sz="6" w:space="0"/>
              <w:bottom w:val="single" w:color="222222" w:sz="6" w:space="0"/>
              <w:right w:val="single" w:color="222222" w:sz="6" w:space="0"/>
            </w:tcBorders>
          </w:tcPr>
          <w:p w14:paraId="75DD22D2">
            <w:pPr>
              <w:spacing w:line="288" w:lineRule="auto"/>
              <w:jc w:val="left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color w:val="000000"/>
                <w:sz w:val="28"/>
                <w:szCs w:val="28"/>
              </w:rPr>
              <w:t>工作级别</w:t>
            </w:r>
          </w:p>
        </w:tc>
        <w:tc>
          <w:tcPr>
            <w:tcW w:w="4010" w:type="pct"/>
            <w:tcBorders>
              <w:top w:val="single" w:color="222222" w:sz="6" w:space="0"/>
              <w:left w:val="single" w:color="222222" w:sz="6" w:space="0"/>
              <w:bottom w:val="single" w:color="222222" w:sz="6" w:space="0"/>
              <w:right w:val="single" w:color="222222" w:sz="6" w:space="0"/>
            </w:tcBorders>
          </w:tcPr>
          <w:p w14:paraId="760AF07B">
            <w:pPr>
              <w:spacing w:line="288" w:lineRule="auto"/>
              <w:jc w:val="left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color w:val="000000"/>
                <w:sz w:val="28"/>
                <w:szCs w:val="28"/>
              </w:rPr>
              <w:t>A5 - A6 级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8"/>
                <w:szCs w:val="28"/>
              </w:rPr>
              <w:t>(需满足炽热金属作业间歇使用要求)</w:t>
            </w:r>
          </w:p>
        </w:tc>
      </w:tr>
      <w:tr w14:paraId="4ABB33D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9" w:type="pct"/>
            <w:tcBorders>
              <w:top w:val="single" w:color="222222" w:sz="6" w:space="0"/>
              <w:left w:val="single" w:color="222222" w:sz="6" w:space="0"/>
              <w:bottom w:val="single" w:color="222222" w:sz="6" w:space="0"/>
              <w:right w:val="single" w:color="222222" w:sz="6" w:space="0"/>
            </w:tcBorders>
          </w:tcPr>
          <w:p w14:paraId="586C1E3F">
            <w:pPr>
              <w:spacing w:line="288" w:lineRule="auto"/>
              <w:jc w:val="left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color w:val="000000"/>
                <w:sz w:val="28"/>
                <w:szCs w:val="28"/>
              </w:rPr>
              <w:t>操作方式</w:t>
            </w:r>
          </w:p>
        </w:tc>
        <w:tc>
          <w:tcPr>
            <w:tcW w:w="4010" w:type="pct"/>
            <w:tcBorders>
              <w:top w:val="single" w:color="222222" w:sz="6" w:space="0"/>
              <w:left w:val="single" w:color="222222" w:sz="6" w:space="0"/>
              <w:bottom w:val="single" w:color="222222" w:sz="6" w:space="0"/>
              <w:right w:val="single" w:color="222222" w:sz="6" w:space="0"/>
            </w:tcBorders>
          </w:tcPr>
          <w:p w14:paraId="2A2E4E5B">
            <w:pPr>
              <w:spacing w:line="288" w:lineRule="auto"/>
              <w:jc w:val="left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color w:val="000000"/>
                <w:sz w:val="28"/>
                <w:szCs w:val="28"/>
              </w:rPr>
              <w:t>优先采用地面无线遥控+地面操纵箱（地操）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8"/>
                <w:szCs w:val="28"/>
              </w:rPr>
              <w:t>方式，可选配驾驶室。如选配驾驶室，应隔热、密闭，带空调。</w:t>
            </w:r>
          </w:p>
        </w:tc>
      </w:tr>
      <w:tr w14:paraId="1D8F768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9" w:type="pct"/>
            <w:tcBorders>
              <w:top w:val="single" w:color="222222" w:sz="6" w:space="0"/>
              <w:left w:val="single" w:color="222222" w:sz="6" w:space="0"/>
              <w:bottom w:val="single" w:color="222222" w:sz="6" w:space="0"/>
              <w:right w:val="single" w:color="222222" w:sz="6" w:space="0"/>
            </w:tcBorders>
          </w:tcPr>
          <w:p w14:paraId="3C9F0C49">
            <w:pPr>
              <w:spacing w:line="288" w:lineRule="auto"/>
              <w:jc w:val="left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color w:val="000000"/>
                <w:sz w:val="28"/>
                <w:szCs w:val="28"/>
              </w:rPr>
              <w:t>环境温度</w:t>
            </w:r>
          </w:p>
        </w:tc>
        <w:tc>
          <w:tcPr>
            <w:tcW w:w="4010" w:type="pct"/>
            <w:tcBorders>
              <w:top w:val="single" w:color="222222" w:sz="6" w:space="0"/>
              <w:left w:val="single" w:color="222222" w:sz="6" w:space="0"/>
              <w:bottom w:val="single" w:color="222222" w:sz="6" w:space="0"/>
              <w:right w:val="single" w:color="222222" w:sz="6" w:space="0"/>
            </w:tcBorders>
          </w:tcPr>
          <w:p w14:paraId="1EE7A884">
            <w:pPr>
              <w:spacing w:line="288" w:lineRule="auto"/>
              <w:jc w:val="left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color w:val="000000"/>
                <w:sz w:val="28"/>
                <w:szCs w:val="28"/>
              </w:rPr>
              <w:t>-30℃至+50℃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8"/>
                <w:szCs w:val="28"/>
              </w:rPr>
              <w:t>，并考虑吊运高温物料时的热辐射。</w:t>
            </w:r>
          </w:p>
        </w:tc>
      </w:tr>
    </w:tbl>
    <w:p w14:paraId="67572940">
      <w:pPr>
        <w:pStyle w:val="5"/>
        <w:spacing w:line="288" w:lineRule="auto"/>
        <w:jc w:val="left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/>
          <w:color w:val="000000"/>
          <w:sz w:val="28"/>
          <w:szCs w:val="28"/>
        </w:rPr>
        <w:t>3. 主要结构及冶金起重机特殊安全要求</w:t>
      </w:r>
    </w:p>
    <w:p w14:paraId="0A404864">
      <w:pPr>
        <w:spacing w:line="288" w:lineRule="auto"/>
        <w:ind w:firstLine="560" w:firstLineChars="200"/>
        <w:jc w:val="left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8"/>
          <w:szCs w:val="28"/>
        </w:rPr>
        <w:t xml:space="preserve">3.1 </w:t>
      </w:r>
      <w:r>
        <w:rPr>
          <w:rFonts w:hint="eastAsia" w:asciiTheme="minorEastAsia" w:hAnsiTheme="minorEastAsia" w:eastAsiaTheme="minorEastAsia" w:cstheme="minorEastAsia"/>
          <w:b/>
          <w:color w:val="000000"/>
          <w:sz w:val="28"/>
          <w:szCs w:val="28"/>
        </w:rPr>
        <w:t>金属结构</w:t>
      </w:r>
      <w:r>
        <w:rPr>
          <w:rFonts w:hint="eastAsia" w:asciiTheme="minorEastAsia" w:hAnsiTheme="minorEastAsia" w:eastAsiaTheme="minorEastAsia" w:cstheme="minorEastAsia"/>
          <w:color w:val="000000"/>
          <w:sz w:val="28"/>
          <w:szCs w:val="28"/>
        </w:rPr>
        <w:t>：</w:t>
      </w:r>
    </w:p>
    <w:p w14:paraId="066F6754">
      <w:pPr>
        <w:numPr>
          <w:ilvl w:val="0"/>
          <w:numId w:val="2"/>
        </w:numPr>
        <w:spacing w:line="288" w:lineRule="auto"/>
        <w:ind w:firstLine="560" w:firstLineChars="200"/>
        <w:jc w:val="left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8"/>
          <w:szCs w:val="28"/>
        </w:rPr>
        <w:t>主梁、端梁应采用不低于</w:t>
      </w:r>
      <w:r>
        <w:rPr>
          <w:rFonts w:hint="eastAsia" w:asciiTheme="minorEastAsia" w:hAnsiTheme="minorEastAsia" w:eastAsiaTheme="minorEastAsia" w:cstheme="minorEastAsia"/>
          <w:b/>
          <w:color w:val="000000"/>
          <w:sz w:val="28"/>
          <w:szCs w:val="28"/>
        </w:rPr>
        <w:t>Q355B</w:t>
      </w:r>
      <w:r>
        <w:rPr>
          <w:rFonts w:hint="eastAsia" w:asciiTheme="minorEastAsia" w:hAnsiTheme="minorEastAsia" w:eastAsiaTheme="minorEastAsia" w:cstheme="minorEastAsia"/>
          <w:color w:val="000000"/>
          <w:sz w:val="28"/>
          <w:szCs w:val="28"/>
        </w:rPr>
        <w:t>的钢材制作，并进行有效的消除应力处理。</w:t>
      </w:r>
    </w:p>
    <w:p w14:paraId="1102090A">
      <w:pPr>
        <w:numPr>
          <w:ilvl w:val="0"/>
          <w:numId w:val="2"/>
        </w:numPr>
        <w:spacing w:line="288" w:lineRule="auto"/>
        <w:ind w:firstLine="560" w:firstLineChars="200"/>
        <w:jc w:val="left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8"/>
          <w:szCs w:val="28"/>
        </w:rPr>
        <w:t>鉴于吊运炽热物料，</w:t>
      </w:r>
      <w:r>
        <w:rPr>
          <w:rFonts w:hint="eastAsia" w:asciiTheme="minorEastAsia" w:hAnsiTheme="minorEastAsia" w:eastAsiaTheme="minorEastAsia" w:cstheme="minorEastAsia"/>
          <w:b/>
          <w:color w:val="000000"/>
          <w:sz w:val="28"/>
          <w:szCs w:val="28"/>
        </w:rPr>
        <w:t>主梁及吊具横梁直接受热辐射的部位（如下翼缘板下方），必须加装耐高温隔热板</w:t>
      </w:r>
      <w:r>
        <w:rPr>
          <w:rFonts w:hint="eastAsia" w:asciiTheme="minorEastAsia" w:hAnsiTheme="minorEastAsia" w:eastAsiaTheme="minorEastAsia" w:cstheme="minorEastAsia"/>
          <w:color w:val="000000"/>
          <w:sz w:val="28"/>
          <w:szCs w:val="28"/>
        </w:rPr>
        <w:t>。</w:t>
      </w:r>
    </w:p>
    <w:p w14:paraId="321C593B">
      <w:pPr>
        <w:numPr>
          <w:ilvl w:val="0"/>
          <w:numId w:val="2"/>
        </w:numPr>
        <w:spacing w:line="288" w:lineRule="auto"/>
        <w:ind w:firstLine="560" w:firstLineChars="200"/>
        <w:jc w:val="left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8"/>
          <w:szCs w:val="28"/>
        </w:rPr>
        <w:t>重要受力焊缝须按 JB/T 10559 等标准进行超声波探伤 (UT) 检测。</w:t>
      </w:r>
    </w:p>
    <w:p w14:paraId="588963BF">
      <w:pPr>
        <w:spacing w:line="288" w:lineRule="auto"/>
        <w:ind w:firstLine="560" w:firstLineChars="200"/>
        <w:jc w:val="left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8"/>
          <w:szCs w:val="28"/>
        </w:rPr>
        <w:t xml:space="preserve">3.2 </w:t>
      </w:r>
      <w:r>
        <w:rPr>
          <w:rFonts w:hint="eastAsia" w:asciiTheme="minorEastAsia" w:hAnsiTheme="minorEastAsia" w:eastAsiaTheme="minorEastAsia" w:cstheme="minorEastAsia"/>
          <w:b/>
          <w:color w:val="000000"/>
          <w:sz w:val="28"/>
          <w:szCs w:val="28"/>
        </w:rPr>
        <w:t>起升机构（核心要求）</w:t>
      </w:r>
      <w:r>
        <w:rPr>
          <w:rFonts w:hint="eastAsia" w:asciiTheme="minorEastAsia" w:hAnsiTheme="minorEastAsia" w:eastAsiaTheme="minorEastAsia" w:cstheme="minorEastAsia"/>
          <w:color w:val="000000"/>
          <w:sz w:val="28"/>
          <w:szCs w:val="28"/>
        </w:rPr>
        <w:t>：</w:t>
      </w:r>
    </w:p>
    <w:p w14:paraId="059C260C">
      <w:pPr>
        <w:numPr>
          <w:ilvl w:val="0"/>
          <w:numId w:val="2"/>
        </w:numPr>
        <w:spacing w:line="288" w:lineRule="auto"/>
        <w:ind w:firstLine="560" w:firstLineChars="200"/>
        <w:jc w:val="left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8"/>
          <w:szCs w:val="28"/>
        </w:rPr>
        <w:t>电动机必须采用</w:t>
      </w:r>
      <w:r>
        <w:rPr>
          <w:rFonts w:hint="eastAsia" w:asciiTheme="minorEastAsia" w:hAnsiTheme="minorEastAsia" w:eastAsiaTheme="minorEastAsia" w:cstheme="minorEastAsia"/>
          <w:b/>
          <w:color w:val="000000"/>
          <w:sz w:val="28"/>
          <w:szCs w:val="28"/>
        </w:rPr>
        <w:t>起重及冶金用YZ/YZZ系列</w:t>
      </w:r>
      <w:r>
        <w:rPr>
          <w:rFonts w:hint="eastAsia" w:asciiTheme="minorEastAsia" w:hAnsiTheme="minorEastAsia" w:eastAsiaTheme="minorEastAsia" w:cstheme="minorEastAsia"/>
          <w:color w:val="000000"/>
          <w:sz w:val="28"/>
          <w:szCs w:val="28"/>
        </w:rPr>
        <w:t>或更高要求的</w:t>
      </w:r>
      <w:r>
        <w:rPr>
          <w:rFonts w:hint="eastAsia" w:asciiTheme="minorEastAsia" w:hAnsiTheme="minorEastAsia" w:eastAsiaTheme="minorEastAsia" w:cstheme="minorEastAsia"/>
          <w:b/>
          <w:color w:val="000000"/>
          <w:sz w:val="28"/>
          <w:szCs w:val="28"/>
        </w:rPr>
        <w:t>H级绝缘</w:t>
      </w:r>
      <w:r>
        <w:rPr>
          <w:rFonts w:hint="eastAsia" w:asciiTheme="minorEastAsia" w:hAnsiTheme="minorEastAsia" w:eastAsiaTheme="minorEastAsia" w:cstheme="minorEastAsia"/>
          <w:color w:val="000000"/>
          <w:sz w:val="28"/>
          <w:szCs w:val="28"/>
        </w:rPr>
        <w:t>电动机。在接近50℃环境下工作时，H级绝缘能提供更高的安全裕度。</w:t>
      </w:r>
    </w:p>
    <w:p w14:paraId="4FE856BE">
      <w:pPr>
        <w:numPr>
          <w:ilvl w:val="0"/>
          <w:numId w:val="2"/>
        </w:numPr>
        <w:spacing w:line="288" w:lineRule="auto"/>
        <w:ind w:firstLine="562" w:firstLineChars="200"/>
        <w:jc w:val="left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/>
          <w:color w:val="000000"/>
          <w:sz w:val="28"/>
          <w:szCs w:val="28"/>
        </w:rPr>
        <w:t>必须设置双制动器（两套独立的工作制动器）</w:t>
      </w:r>
      <w:r>
        <w:rPr>
          <w:rFonts w:hint="eastAsia" w:asciiTheme="minorEastAsia" w:hAnsiTheme="minorEastAsia" w:eastAsiaTheme="minorEastAsia" w:cstheme="minorEastAsia"/>
          <w:color w:val="000000"/>
          <w:sz w:val="28"/>
          <w:szCs w:val="28"/>
        </w:rPr>
        <w:t>。任何一套失效，另一套均能独立安全制动住额定负载。</w:t>
      </w:r>
    </w:p>
    <w:p w14:paraId="644B1B42">
      <w:pPr>
        <w:numPr>
          <w:ilvl w:val="0"/>
          <w:numId w:val="2"/>
        </w:numPr>
        <w:spacing w:line="288" w:lineRule="auto"/>
        <w:ind w:firstLine="562" w:firstLineChars="200"/>
        <w:jc w:val="left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/>
          <w:color w:val="000000"/>
          <w:sz w:val="28"/>
          <w:szCs w:val="28"/>
        </w:rPr>
        <w:t>必须设置两套不同原理的上升极限位置限位器</w:t>
      </w:r>
      <w:r>
        <w:rPr>
          <w:rFonts w:hint="eastAsia" w:asciiTheme="minorEastAsia" w:hAnsiTheme="minorEastAsia" w:eastAsiaTheme="minorEastAsia" w:cstheme="minorEastAsia"/>
          <w:color w:val="000000"/>
          <w:sz w:val="28"/>
          <w:szCs w:val="28"/>
        </w:rPr>
        <w:t>（如重锤式+旋转编码器式），并分别接入不同的控制回路。</w:t>
      </w:r>
    </w:p>
    <w:p w14:paraId="633E4A28">
      <w:pPr>
        <w:numPr>
          <w:ilvl w:val="0"/>
          <w:numId w:val="2"/>
        </w:numPr>
        <w:spacing w:line="288" w:lineRule="auto"/>
        <w:ind w:firstLine="560" w:firstLineChars="200"/>
        <w:jc w:val="left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8"/>
          <w:szCs w:val="28"/>
        </w:rPr>
        <w:t>额定起重量2</w:t>
      </w:r>
      <w:r>
        <w:rPr>
          <w:rFonts w:hint="eastAsia" w:asciiTheme="minorEastAsia" w:hAnsiTheme="minorEastAsia" w:eastAsiaTheme="minorEastAsia" w:cstheme="minorEastAsia"/>
          <w:color w:val="000000"/>
          <w:sz w:val="28"/>
          <w:szCs w:val="28"/>
          <w:lang w:val="en-US" w:eastAsia="zh-CN"/>
        </w:rPr>
        <w:t>5</w:t>
      </w:r>
      <w:r>
        <w:rPr>
          <w:rFonts w:hint="eastAsia" w:asciiTheme="minorEastAsia" w:hAnsiTheme="minorEastAsia" w:eastAsiaTheme="minorEastAsia" w:cstheme="minorEastAsia"/>
          <w:color w:val="000000"/>
          <w:sz w:val="28"/>
          <w:szCs w:val="28"/>
        </w:rPr>
        <w:t>t，</w:t>
      </w:r>
      <w:r>
        <w:rPr>
          <w:rFonts w:hint="eastAsia" w:asciiTheme="minorEastAsia" w:hAnsiTheme="minorEastAsia" w:eastAsiaTheme="minorEastAsia" w:cstheme="minorEastAsia"/>
          <w:b/>
          <w:color w:val="000000"/>
          <w:sz w:val="28"/>
          <w:szCs w:val="28"/>
        </w:rPr>
        <w:t>必须安装可靠的超速保护装置</w:t>
      </w:r>
      <w:r>
        <w:rPr>
          <w:rFonts w:hint="eastAsia" w:asciiTheme="minorEastAsia" w:hAnsiTheme="minorEastAsia" w:eastAsiaTheme="minorEastAsia" w:cstheme="minorEastAsia"/>
          <w:color w:val="000000"/>
          <w:sz w:val="28"/>
          <w:szCs w:val="28"/>
        </w:rPr>
        <w:t>。</w:t>
      </w:r>
    </w:p>
    <w:p w14:paraId="29620F2C">
      <w:pPr>
        <w:numPr>
          <w:ilvl w:val="0"/>
          <w:numId w:val="2"/>
        </w:numPr>
        <w:spacing w:line="288" w:lineRule="auto"/>
        <w:ind w:firstLine="560" w:firstLineChars="200"/>
        <w:jc w:val="left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8"/>
          <w:szCs w:val="28"/>
        </w:rPr>
        <w:t>必须设置起重量限制器（或称电子秤），精度±3%F.S。在90%额定载荷时预警，在105%时切断上升动作。</w:t>
      </w:r>
    </w:p>
    <w:p w14:paraId="017EAE85">
      <w:pPr>
        <w:spacing w:line="288" w:lineRule="auto"/>
        <w:ind w:firstLine="560" w:firstLineChars="200"/>
        <w:jc w:val="left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8"/>
          <w:szCs w:val="28"/>
        </w:rPr>
        <w:t xml:space="preserve">3.3 </w:t>
      </w:r>
      <w:r>
        <w:rPr>
          <w:rFonts w:hint="eastAsia" w:asciiTheme="minorEastAsia" w:hAnsiTheme="minorEastAsia" w:eastAsiaTheme="minorEastAsia" w:cstheme="minorEastAsia"/>
          <w:b/>
          <w:color w:val="000000"/>
          <w:sz w:val="28"/>
          <w:szCs w:val="28"/>
        </w:rPr>
        <w:t>安全与防护</w:t>
      </w:r>
      <w:r>
        <w:rPr>
          <w:rFonts w:hint="eastAsia" w:asciiTheme="minorEastAsia" w:hAnsiTheme="minorEastAsia" w:eastAsiaTheme="minorEastAsia" w:cstheme="minorEastAsia"/>
          <w:color w:val="000000"/>
          <w:sz w:val="28"/>
          <w:szCs w:val="28"/>
        </w:rPr>
        <w:t>：</w:t>
      </w:r>
    </w:p>
    <w:p w14:paraId="4E74ABBC">
      <w:pPr>
        <w:numPr>
          <w:ilvl w:val="0"/>
          <w:numId w:val="2"/>
        </w:numPr>
        <w:spacing w:line="288" w:lineRule="auto"/>
        <w:ind w:firstLine="562" w:firstLineChars="200"/>
        <w:jc w:val="left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/>
          <w:color w:val="000000"/>
          <w:sz w:val="28"/>
          <w:szCs w:val="28"/>
        </w:rPr>
        <w:t>超速保护装置</w:t>
      </w:r>
      <w:r>
        <w:rPr>
          <w:rFonts w:hint="eastAsia" w:asciiTheme="minorEastAsia" w:hAnsiTheme="minorEastAsia" w:eastAsiaTheme="minorEastAsia" w:cstheme="minorEastAsia"/>
          <w:color w:val="000000"/>
          <w:sz w:val="28"/>
          <w:szCs w:val="28"/>
        </w:rPr>
        <w:t>：防止下降或失压时速度失控。</w:t>
      </w:r>
    </w:p>
    <w:p w14:paraId="54FAB006">
      <w:pPr>
        <w:numPr>
          <w:ilvl w:val="0"/>
          <w:numId w:val="2"/>
        </w:numPr>
        <w:spacing w:line="288" w:lineRule="auto"/>
        <w:ind w:firstLine="562" w:firstLineChars="200"/>
        <w:jc w:val="left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/>
          <w:color w:val="000000"/>
          <w:sz w:val="28"/>
          <w:szCs w:val="28"/>
        </w:rPr>
        <w:t>起升制动器故障保护</w:t>
      </w:r>
      <w:r>
        <w:rPr>
          <w:rFonts w:hint="eastAsia" w:asciiTheme="minorEastAsia" w:hAnsiTheme="minorEastAsia" w:eastAsiaTheme="minorEastAsia" w:cstheme="minorEastAsia"/>
          <w:color w:val="000000"/>
          <w:sz w:val="28"/>
          <w:szCs w:val="28"/>
        </w:rPr>
        <w:t>：当起升接触器故障粘连时，应有措施防止制动器持续通电导致危险。</w:t>
      </w:r>
    </w:p>
    <w:p w14:paraId="7A2C663D">
      <w:pPr>
        <w:numPr>
          <w:ilvl w:val="0"/>
          <w:numId w:val="2"/>
        </w:numPr>
        <w:spacing w:line="288" w:lineRule="auto"/>
        <w:ind w:firstLine="562" w:firstLineChars="200"/>
        <w:jc w:val="left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/>
          <w:color w:val="000000"/>
          <w:sz w:val="28"/>
          <w:szCs w:val="28"/>
        </w:rPr>
        <w:t>隔热与防热辐射</w:t>
      </w:r>
      <w:r>
        <w:rPr>
          <w:rFonts w:hint="eastAsia" w:asciiTheme="minorEastAsia" w:hAnsiTheme="minorEastAsia" w:eastAsiaTheme="minorEastAsia" w:cstheme="minorEastAsia"/>
          <w:color w:val="000000"/>
          <w:sz w:val="28"/>
          <w:szCs w:val="28"/>
        </w:rPr>
        <w:t>：</w:t>
      </w:r>
    </w:p>
    <w:p w14:paraId="2765227C">
      <w:pPr>
        <w:numPr>
          <w:ilvl w:val="1"/>
          <w:numId w:val="3"/>
        </w:numPr>
        <w:spacing w:line="288" w:lineRule="auto"/>
        <w:ind w:firstLine="560" w:firstLineChars="200"/>
        <w:jc w:val="left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8"/>
          <w:szCs w:val="28"/>
        </w:rPr>
        <w:t>主要电气设备（控制柜、电阻器等）若安装于箱体内，应考虑隔热或安装空调、风机散热。</w:t>
      </w:r>
    </w:p>
    <w:p w14:paraId="4AE21CE5">
      <w:pPr>
        <w:numPr>
          <w:ilvl w:val="1"/>
          <w:numId w:val="3"/>
        </w:numPr>
        <w:spacing w:line="288" w:lineRule="auto"/>
        <w:ind w:firstLine="560" w:firstLineChars="200"/>
        <w:jc w:val="left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8"/>
          <w:szCs w:val="28"/>
        </w:rPr>
        <w:t>钢丝绳卷筒下方及滑轮组应采取设置隔热挡板等防护措施。</w:t>
      </w:r>
    </w:p>
    <w:p w14:paraId="7956E81A">
      <w:pPr>
        <w:numPr>
          <w:ilvl w:val="0"/>
          <w:numId w:val="4"/>
        </w:numPr>
        <w:spacing w:line="288" w:lineRule="auto"/>
        <w:ind w:firstLine="562" w:firstLineChars="200"/>
        <w:jc w:val="left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/>
          <w:color w:val="000000"/>
          <w:sz w:val="28"/>
          <w:szCs w:val="28"/>
        </w:rPr>
        <w:t>其他标准安全装置</w:t>
      </w:r>
      <w:r>
        <w:rPr>
          <w:rFonts w:hint="eastAsia" w:asciiTheme="minorEastAsia" w:hAnsiTheme="minorEastAsia" w:eastAsiaTheme="minorEastAsia" w:cstheme="minorEastAsia"/>
          <w:color w:val="000000"/>
          <w:sz w:val="28"/>
          <w:szCs w:val="28"/>
        </w:rPr>
        <w:t>：大车、小车运行限位及缓冲装置、紧急停止开关、运行声光报警、防碰撞装置（如有两台以上起重机在同一轨道或交叉运行时）等必须齐全。</w:t>
      </w:r>
    </w:p>
    <w:p w14:paraId="1DAC04A9">
      <w:pPr>
        <w:spacing w:line="288" w:lineRule="auto"/>
        <w:ind w:firstLine="560" w:firstLineChars="200"/>
        <w:jc w:val="left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8"/>
          <w:szCs w:val="28"/>
        </w:rPr>
        <w:t xml:space="preserve">3.4 </w:t>
      </w:r>
      <w:r>
        <w:rPr>
          <w:rFonts w:hint="eastAsia" w:asciiTheme="minorEastAsia" w:hAnsiTheme="minorEastAsia" w:eastAsiaTheme="minorEastAsia" w:cstheme="minorEastAsia"/>
          <w:b/>
          <w:color w:val="000000"/>
          <w:sz w:val="28"/>
          <w:szCs w:val="28"/>
        </w:rPr>
        <w:t>电气控制</w:t>
      </w:r>
      <w:r>
        <w:rPr>
          <w:rFonts w:hint="eastAsia" w:asciiTheme="minorEastAsia" w:hAnsiTheme="minorEastAsia" w:eastAsiaTheme="minorEastAsia" w:cstheme="minorEastAsia"/>
          <w:color w:val="000000"/>
          <w:sz w:val="28"/>
          <w:szCs w:val="28"/>
        </w:rPr>
        <w:t>：</w:t>
      </w:r>
    </w:p>
    <w:p w14:paraId="4614562C">
      <w:pPr>
        <w:numPr>
          <w:ilvl w:val="0"/>
          <w:numId w:val="4"/>
        </w:numPr>
        <w:spacing w:line="288" w:lineRule="auto"/>
        <w:ind w:firstLine="560" w:firstLineChars="200"/>
        <w:jc w:val="left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8"/>
          <w:szCs w:val="28"/>
        </w:rPr>
        <w:t>主要控制元件（接触器、断路器等）应选用施耐德、西门子等优质品牌。</w:t>
      </w:r>
    </w:p>
    <w:p w14:paraId="18D26B7D">
      <w:pPr>
        <w:numPr>
          <w:ilvl w:val="0"/>
          <w:numId w:val="4"/>
        </w:numPr>
        <w:spacing w:line="288" w:lineRule="auto"/>
        <w:ind w:firstLine="560" w:firstLineChars="200"/>
        <w:jc w:val="left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8"/>
          <w:szCs w:val="28"/>
        </w:rPr>
        <w:t>整套电气系统应具备完善的保护：短路、过流、失压、零位、缺相、紧急断电等。</w:t>
      </w:r>
    </w:p>
    <w:p w14:paraId="4A7AAB3C">
      <w:pPr>
        <w:numPr>
          <w:ilvl w:val="0"/>
          <w:numId w:val="4"/>
        </w:numPr>
        <w:spacing w:line="288" w:lineRule="auto"/>
        <w:ind w:firstLine="560" w:firstLineChars="200"/>
        <w:jc w:val="left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8"/>
          <w:szCs w:val="28"/>
        </w:rPr>
        <w:t>控制系统应为变频调速系统，实现各机构平稳启停和精准定位。</w:t>
      </w:r>
    </w:p>
    <w:p w14:paraId="097E852B">
      <w:pPr>
        <w:pStyle w:val="5"/>
        <w:spacing w:line="288" w:lineRule="auto"/>
        <w:jc w:val="left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/>
          <w:color w:val="000000"/>
          <w:sz w:val="28"/>
          <w:szCs w:val="28"/>
        </w:rPr>
        <w:t>4. 供货范围、试验与质保</w:t>
      </w:r>
    </w:p>
    <w:p w14:paraId="4F23EA38">
      <w:pPr>
        <w:spacing w:line="288" w:lineRule="auto"/>
        <w:ind w:firstLine="560" w:firstLineChars="200"/>
        <w:jc w:val="left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8"/>
          <w:szCs w:val="28"/>
        </w:rPr>
        <w:t xml:space="preserve">4.1 </w:t>
      </w:r>
      <w:r>
        <w:rPr>
          <w:rFonts w:hint="eastAsia" w:asciiTheme="minorEastAsia" w:hAnsiTheme="minorEastAsia" w:eastAsiaTheme="minorEastAsia" w:cstheme="minorEastAsia"/>
          <w:b/>
          <w:color w:val="000000"/>
          <w:sz w:val="28"/>
          <w:szCs w:val="28"/>
        </w:rPr>
        <w:t>供货范围</w:t>
      </w:r>
      <w:r>
        <w:rPr>
          <w:rFonts w:hint="eastAsia" w:asciiTheme="minorEastAsia" w:hAnsiTheme="minorEastAsia" w:eastAsiaTheme="minorEastAsia" w:cstheme="minorEastAsia"/>
          <w:color w:val="000000"/>
          <w:sz w:val="28"/>
          <w:szCs w:val="28"/>
        </w:rPr>
        <w:t>：整台门式起重机，含大、小车，起升机构，吊具（含隔热设计），电气控制系统，遥控系统（如要求），安全装置及全套随机文件。</w:t>
      </w:r>
    </w:p>
    <w:p w14:paraId="30DDA2AA">
      <w:pPr>
        <w:spacing w:line="288" w:lineRule="auto"/>
        <w:ind w:firstLine="560" w:firstLineChars="200"/>
        <w:jc w:val="left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8"/>
          <w:szCs w:val="28"/>
        </w:rPr>
        <w:t xml:space="preserve">4.2 </w:t>
      </w:r>
      <w:r>
        <w:rPr>
          <w:rFonts w:hint="eastAsia" w:asciiTheme="minorEastAsia" w:hAnsiTheme="minorEastAsia" w:eastAsiaTheme="minorEastAsia" w:cstheme="minorEastAsia"/>
          <w:b/>
          <w:color w:val="000000"/>
          <w:sz w:val="28"/>
          <w:szCs w:val="28"/>
        </w:rPr>
        <w:t>资料交付</w:t>
      </w:r>
      <w:r>
        <w:rPr>
          <w:rFonts w:hint="eastAsia" w:asciiTheme="minorEastAsia" w:hAnsiTheme="minorEastAsia" w:eastAsiaTheme="minorEastAsia" w:cstheme="minorEastAsia"/>
          <w:color w:val="000000"/>
          <w:sz w:val="28"/>
          <w:szCs w:val="28"/>
        </w:rPr>
        <w:t>：合同签订后5-7天内提供总图、基础荷载图、电气原理图；交货时随带合格证、操作手册、检测报告。</w:t>
      </w:r>
    </w:p>
    <w:p w14:paraId="3F61A0E8">
      <w:pPr>
        <w:spacing w:line="288" w:lineRule="auto"/>
        <w:ind w:firstLine="560" w:firstLineChars="200"/>
        <w:jc w:val="left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8"/>
          <w:szCs w:val="28"/>
        </w:rPr>
        <w:t xml:space="preserve">4.3 </w:t>
      </w:r>
      <w:r>
        <w:rPr>
          <w:rFonts w:hint="eastAsia" w:asciiTheme="minorEastAsia" w:hAnsiTheme="minorEastAsia" w:eastAsiaTheme="minorEastAsia" w:cstheme="minorEastAsia"/>
          <w:b/>
          <w:color w:val="000000"/>
          <w:sz w:val="28"/>
          <w:szCs w:val="28"/>
        </w:rPr>
        <w:t>试验</w:t>
      </w:r>
      <w:r>
        <w:rPr>
          <w:rFonts w:hint="eastAsia" w:asciiTheme="minorEastAsia" w:hAnsiTheme="minorEastAsia" w:eastAsiaTheme="minorEastAsia" w:cstheme="minorEastAsia"/>
          <w:color w:val="000000"/>
          <w:sz w:val="28"/>
          <w:szCs w:val="28"/>
        </w:rPr>
        <w:t>：</w:t>
      </w:r>
    </w:p>
    <w:p w14:paraId="198047DA">
      <w:pPr>
        <w:numPr>
          <w:ilvl w:val="0"/>
          <w:numId w:val="5"/>
        </w:numPr>
        <w:spacing w:line="288" w:lineRule="auto"/>
        <w:ind w:firstLine="562" w:firstLineChars="200"/>
        <w:jc w:val="left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/>
          <w:color w:val="000000"/>
          <w:sz w:val="28"/>
          <w:szCs w:val="28"/>
        </w:rPr>
        <w:t>型式试验与出厂试验</w:t>
      </w:r>
      <w:r>
        <w:rPr>
          <w:rFonts w:hint="eastAsia" w:asciiTheme="minorEastAsia" w:hAnsiTheme="minorEastAsia" w:eastAsiaTheme="minorEastAsia" w:cstheme="minorEastAsia"/>
          <w:color w:val="000000"/>
          <w:sz w:val="28"/>
          <w:szCs w:val="28"/>
        </w:rPr>
        <w:t>：投标方必须在有资质的检测机构或本单位质检部门监督下完成，并出具报告。</w:t>
      </w:r>
    </w:p>
    <w:p w14:paraId="550185E9">
      <w:pPr>
        <w:numPr>
          <w:ilvl w:val="0"/>
          <w:numId w:val="5"/>
        </w:numPr>
        <w:spacing w:line="288" w:lineRule="auto"/>
        <w:ind w:firstLine="562" w:firstLineChars="200"/>
        <w:jc w:val="left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/>
          <w:color w:val="000000"/>
          <w:sz w:val="28"/>
          <w:szCs w:val="28"/>
        </w:rPr>
        <w:t>现场试验</w:t>
      </w:r>
      <w:r>
        <w:rPr>
          <w:rFonts w:hint="eastAsia" w:asciiTheme="minorEastAsia" w:hAnsiTheme="minorEastAsia" w:eastAsiaTheme="minorEastAsia" w:cstheme="minorEastAsia"/>
          <w:color w:val="000000"/>
          <w:sz w:val="28"/>
          <w:szCs w:val="28"/>
        </w:rPr>
        <w:t>：设备安装完毕后，必须进行</w:t>
      </w:r>
      <w:r>
        <w:rPr>
          <w:rFonts w:hint="eastAsia" w:asciiTheme="minorEastAsia" w:hAnsiTheme="minorEastAsia" w:eastAsiaTheme="minorEastAsia" w:cstheme="minorEastAsia"/>
          <w:b/>
          <w:color w:val="000000"/>
          <w:sz w:val="28"/>
          <w:szCs w:val="28"/>
        </w:rPr>
        <w:t>无载、静载（1.25倍）、动载（1.1倍）及热态载荷</w:t>
      </w:r>
      <w:r>
        <w:rPr>
          <w:rFonts w:hint="eastAsia" w:asciiTheme="minorEastAsia" w:hAnsiTheme="minorEastAsia" w:eastAsiaTheme="minorEastAsia" w:cstheme="minorEastAsia"/>
          <w:color w:val="000000"/>
          <w:sz w:val="28"/>
          <w:szCs w:val="28"/>
        </w:rPr>
        <w:t>（用接近温度的模拟负载）试验。特别验证</w:t>
      </w:r>
      <w:r>
        <w:rPr>
          <w:rFonts w:hint="eastAsia" w:asciiTheme="minorEastAsia" w:hAnsiTheme="minorEastAsia" w:eastAsiaTheme="minorEastAsia" w:cstheme="minorEastAsia"/>
          <w:b/>
          <w:color w:val="000000"/>
          <w:sz w:val="28"/>
          <w:szCs w:val="28"/>
        </w:rPr>
        <w:t>双制动系统</w:t>
      </w:r>
      <w:r>
        <w:rPr>
          <w:rFonts w:hint="eastAsia" w:asciiTheme="minorEastAsia" w:hAnsiTheme="minorEastAsia" w:eastAsiaTheme="minorEastAsia" w:cstheme="minorEastAsia"/>
          <w:color w:val="000000"/>
          <w:sz w:val="28"/>
          <w:szCs w:val="28"/>
        </w:rPr>
        <w:t>的有效性。</w:t>
      </w:r>
    </w:p>
    <w:p w14:paraId="12C3EF6E">
      <w:pPr>
        <w:spacing w:line="288" w:lineRule="auto"/>
        <w:ind w:firstLine="560" w:firstLineChars="200"/>
        <w:jc w:val="left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8"/>
          <w:szCs w:val="28"/>
        </w:rPr>
        <w:t xml:space="preserve">4.4 </w:t>
      </w:r>
      <w:r>
        <w:rPr>
          <w:rFonts w:hint="eastAsia" w:asciiTheme="minorEastAsia" w:hAnsiTheme="minorEastAsia" w:eastAsiaTheme="minorEastAsia" w:cstheme="minorEastAsia"/>
          <w:b/>
          <w:color w:val="000000"/>
          <w:sz w:val="28"/>
          <w:szCs w:val="28"/>
        </w:rPr>
        <w:t>质保</w:t>
      </w:r>
      <w:r>
        <w:rPr>
          <w:rFonts w:hint="eastAsia" w:asciiTheme="minorEastAsia" w:hAnsiTheme="minorEastAsia" w:eastAsiaTheme="minorEastAsia" w:cstheme="minorEastAsia"/>
          <w:color w:val="000000"/>
          <w:sz w:val="28"/>
          <w:szCs w:val="28"/>
        </w:rPr>
        <w:t>：自最终验收合格之日起，整机核心部件质保期不低于</w:t>
      </w:r>
      <w:r>
        <w:rPr>
          <w:rFonts w:hint="eastAsia" w:asciiTheme="minorEastAsia" w:hAnsiTheme="minorEastAsia" w:eastAsiaTheme="minorEastAsia" w:cstheme="minorEastAsia"/>
          <w:b/>
          <w:color w:val="000000"/>
          <w:sz w:val="28"/>
          <w:szCs w:val="28"/>
        </w:rPr>
        <w:t>12个月</w:t>
      </w:r>
      <w:r>
        <w:rPr>
          <w:rFonts w:hint="eastAsia" w:asciiTheme="minorEastAsia" w:hAnsiTheme="minorEastAsia" w:eastAsiaTheme="minorEastAsia" w:cstheme="minorEastAsia"/>
          <w:color w:val="000000"/>
          <w:sz w:val="28"/>
          <w:szCs w:val="28"/>
        </w:rPr>
        <w:t>。在质保期内，凡因设计、制造、材料原因导致的损坏，投标方负责免费维修或更换。</w:t>
      </w:r>
    </w:p>
    <w:p w14:paraId="2ED723FB">
      <w:pPr>
        <w:spacing w:line="288" w:lineRule="auto"/>
        <w:ind w:firstLine="560" w:firstLineChars="200"/>
        <w:jc w:val="left"/>
        <w:rPr>
          <w:rFonts w:hint="eastAsia" w:asciiTheme="minorEastAsia" w:hAnsiTheme="minorEastAsia" w:eastAsiaTheme="minorEastAsia" w:cstheme="minorEastAsia"/>
          <w:sz w:val="28"/>
          <w:szCs w:val="28"/>
        </w:rPr>
      </w:pPr>
    </w:p>
    <w:sectPr>
      <w:pgSz w:w="11906" w:h="16838"/>
      <w:pgMar w:top="1361" w:right="1361" w:bottom="1247" w:left="1474" w:header="851" w:footer="992" w:gutter="0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21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5E306ED"/>
    <w:multiLevelType w:val="multilevel"/>
    <w:tmpl w:val="B5E306ED"/>
    <w:lvl w:ilvl="0" w:tentative="0">
      <w:start w:val="1"/>
      <w:numFmt w:val="bullet"/>
      <w:lvlText w:val=""/>
      <w:lvlJc w:val="left"/>
      <w:pPr>
        <w:ind w:left="440" w:hanging="440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ind w:left="880" w:hanging="44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"/>
      <w:lvlJc w:val="left"/>
      <w:pPr>
        <w:ind w:left="1320" w:hanging="44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760" w:hanging="44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200" w:hanging="44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640" w:hanging="44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080" w:hanging="44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520" w:hanging="44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960" w:hanging="440"/>
      </w:pPr>
      <w:rPr>
        <w:rFonts w:hint="default" w:ascii="Wingdings" w:hAnsi="Wingdings"/>
      </w:rPr>
    </w:lvl>
  </w:abstractNum>
  <w:abstractNum w:abstractNumId="1">
    <w:nsid w:val="BF205925"/>
    <w:multiLevelType w:val="multilevel"/>
    <w:tmpl w:val="BF205925"/>
    <w:lvl w:ilvl="0" w:tentative="0">
      <w:start w:val="1"/>
      <w:numFmt w:val="bullet"/>
      <w:lvlText w:val=""/>
      <w:lvlJc w:val="left"/>
      <w:pPr>
        <w:ind w:left="440" w:hanging="44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880" w:hanging="44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320" w:hanging="44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760" w:hanging="44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200" w:hanging="44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640" w:hanging="44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080" w:hanging="44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520" w:hanging="44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960" w:hanging="440"/>
      </w:pPr>
      <w:rPr>
        <w:rFonts w:hint="default" w:ascii="Wingdings" w:hAnsi="Wingdings"/>
      </w:rPr>
    </w:lvl>
  </w:abstractNum>
  <w:abstractNum w:abstractNumId="2">
    <w:nsid w:val="03D62ECE"/>
    <w:multiLevelType w:val="multilevel"/>
    <w:tmpl w:val="03D62ECE"/>
    <w:lvl w:ilvl="0" w:tentative="0">
      <w:start w:val="1"/>
      <w:numFmt w:val="bullet"/>
      <w:lvlText w:val=""/>
      <w:lvlJc w:val="left"/>
      <w:pPr>
        <w:ind w:left="440" w:hanging="44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880" w:hanging="44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320" w:hanging="44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760" w:hanging="44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200" w:hanging="44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640" w:hanging="44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080" w:hanging="44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520" w:hanging="44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960" w:hanging="440"/>
      </w:pPr>
      <w:rPr>
        <w:rFonts w:hint="default" w:ascii="Wingdings" w:hAnsi="Wingdings"/>
      </w:rPr>
    </w:lvl>
  </w:abstractNum>
  <w:abstractNum w:abstractNumId="3">
    <w:nsid w:val="25B654F3"/>
    <w:multiLevelType w:val="multilevel"/>
    <w:tmpl w:val="25B654F3"/>
    <w:lvl w:ilvl="0" w:tentative="0">
      <w:start w:val="1"/>
      <w:numFmt w:val="bullet"/>
      <w:lvlText w:val=""/>
      <w:lvlJc w:val="left"/>
      <w:pPr>
        <w:ind w:left="440" w:hanging="44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880" w:hanging="44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320" w:hanging="44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760" w:hanging="44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200" w:hanging="44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640" w:hanging="44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080" w:hanging="44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520" w:hanging="44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960" w:hanging="440"/>
      </w:pPr>
      <w:rPr>
        <w:rFonts w:hint="default" w:ascii="Wingdings" w:hAnsi="Wingdings"/>
      </w:rPr>
    </w:lvl>
  </w:abstractNum>
  <w:abstractNum w:abstractNumId="4">
    <w:nsid w:val="59ADCABA"/>
    <w:multiLevelType w:val="multilevel"/>
    <w:tmpl w:val="59ADCABA"/>
    <w:lvl w:ilvl="0" w:tentative="0">
      <w:start w:val="1"/>
      <w:numFmt w:val="bullet"/>
      <w:lvlText w:val=""/>
      <w:lvlJc w:val="left"/>
      <w:pPr>
        <w:ind w:left="440" w:hanging="44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880" w:hanging="44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320" w:hanging="44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760" w:hanging="44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200" w:hanging="44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640" w:hanging="44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080" w:hanging="44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520" w:hanging="44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960" w:hanging="440"/>
      </w:pPr>
      <w:rPr>
        <w:rFonts w:hint="default" w:ascii="Wingdings" w:hAnsi="Wingdings"/>
      </w:r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cumentProtection w:enforcement="0"/>
  <w:footnotePr>
    <w:footnote w:id="0"/>
    <w:footnote w:id="1"/>
  </w:footnotePr>
  <w:endnotePr>
    <w:endnote w:id="0"/>
    <w:endnote w:id="1"/>
  </w:endnotePr>
  <w:compat>
    <w:balanceSingleByteDoubleByteWidth/>
    <w:ulTrailSpace/>
    <w:doNotExpandShiftReturn/>
    <w:useFELayout/>
    <w:compatSetting w:name="compatibilityMode" w:uri="http://schemas.microsoft.com/office/word" w:val="16"/>
    <w:compatSetting w:name="overrideTableStyleFontSizeAndJustification" w:uri="http://schemas.microsoft.com/office/word" w:val="1"/>
  </w:compat>
  <w:rsids>
    <w:rsidRoot w:val="00000000"/>
    <w:rsid w:val="00BF52BD"/>
    <w:rsid w:val="0F4A72A2"/>
    <w:rsid w:val="130312C6"/>
    <w:rsid w:val="22AD56A2"/>
    <w:rsid w:val="2964062C"/>
    <w:rsid w:val="60163AFE"/>
    <w:rsid w:val="621E7BCC"/>
    <w:rsid w:val="7F1C109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uiPriority="99" w:name="heading 5"/>
    <w:lsdException w:uiPriority="99" w:name="heading 6"/>
    <w:lsdException w:uiPriority="99" w:name="heading 7"/>
    <w:lsdException w:uiPriority="99" w:name="heading 8"/>
    <w:lsdException w:uiPriority="9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99" w:name="toc 1"/>
    <w:lsdException w:uiPriority="99" w:name="toc 2"/>
    <w:lsdException w:uiPriority="99" w:name="toc 3"/>
    <w:lsdException w:uiPriority="99" w:name="toc 4"/>
    <w:lsdException w:uiPriority="99" w:name="toc 5"/>
    <w:lsdException w:uiPriority="99" w:name="toc 6"/>
    <w:lsdException w:uiPriority="99" w:name="toc 7"/>
    <w:lsdException w:uiPriority="99" w:name="toc 8"/>
    <w:lsdException w:uiPriority="99" w:name="toc 9"/>
    <w:lsdException w:qFormat="1" w:uiPriority="99" w:semiHidden="0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uiPriority="99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before="0" w:beforeLines="0" w:after="0" w:afterLines="0" w:line="240" w:lineRule="auto"/>
      <w:jc w:val="both"/>
    </w:pPr>
    <w:rPr>
      <w:rFonts w:ascii="Calibri" w:hAnsi="Calibri" w:eastAsia="等线" w:cs="21"/>
      <w:sz w:val="22"/>
      <w:szCs w:val="22"/>
      <w:lang w:val="en-US" w:eastAsia="en-US" w:bidi="ar-SA"/>
    </w:rPr>
  </w:style>
  <w:style w:type="paragraph" w:styleId="2">
    <w:name w:val="heading 1"/>
    <w:basedOn w:val="1"/>
    <w:next w:val="1"/>
    <w:link w:val="17"/>
    <w:qFormat/>
    <w:uiPriority w:val="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000000"/>
      <w:sz w:val="28"/>
      <w:szCs w:val="28"/>
    </w:rPr>
  </w:style>
  <w:style w:type="paragraph" w:styleId="3">
    <w:name w:val="heading 2"/>
    <w:basedOn w:val="1"/>
    <w:next w:val="1"/>
    <w:link w:val="18"/>
    <w:unhideWhenUsed/>
    <w:qFormat/>
    <w:uiPriority w:val="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000000"/>
      <w:sz w:val="26"/>
      <w:szCs w:val="26"/>
    </w:rPr>
  </w:style>
  <w:style w:type="paragraph" w:styleId="4">
    <w:name w:val="heading 3"/>
    <w:basedOn w:val="1"/>
    <w:next w:val="1"/>
    <w:link w:val="19"/>
    <w:unhideWhenUsed/>
    <w:qFormat/>
    <w:uiPriority w:val="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000000"/>
    </w:rPr>
  </w:style>
  <w:style w:type="paragraph" w:styleId="5">
    <w:name w:val="heading 4"/>
    <w:basedOn w:val="1"/>
    <w:next w:val="1"/>
    <w:link w:val="20"/>
    <w:unhideWhenUsed/>
    <w:qFormat/>
    <w:uiPriority w:val="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000000"/>
    </w:rPr>
  </w:style>
  <w:style w:type="character" w:default="1" w:styleId="13">
    <w:name w:val="Default Paragraph Font"/>
    <w:semiHidden/>
    <w:unhideWhenUsed/>
    <w:qFormat/>
    <w:uiPriority w:val="1"/>
  </w:style>
  <w:style w:type="table" w:default="1" w:styleId="1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Normal Indent"/>
    <w:basedOn w:val="1"/>
    <w:unhideWhenUsed/>
    <w:qFormat/>
    <w:uiPriority w:val="99"/>
    <w:pPr>
      <w:ind w:left="720"/>
    </w:pPr>
  </w:style>
  <w:style w:type="paragraph" w:styleId="7">
    <w:name w:val="caption"/>
    <w:basedOn w:val="1"/>
    <w:next w:val="1"/>
    <w:semiHidden/>
    <w:unhideWhenUsed/>
    <w:qFormat/>
    <w:uiPriority w:val="35"/>
    <w:pPr>
      <w:spacing w:line="240" w:lineRule="auto"/>
    </w:pPr>
    <w:rPr>
      <w:b/>
      <w:bCs/>
      <w:color w:val="4F81BD" w:themeColor="accent1"/>
      <w:sz w:val="18"/>
      <w:szCs w:val="18"/>
      <w14:textFill>
        <w14:solidFill>
          <w14:schemeClr w14:val="accent1"/>
        </w14:solidFill>
      </w14:textFill>
    </w:rPr>
  </w:style>
  <w:style w:type="paragraph" w:styleId="8">
    <w:name w:val="header"/>
    <w:basedOn w:val="1"/>
    <w:link w:val="16"/>
    <w:unhideWhenUsed/>
    <w:qFormat/>
    <w:uiPriority w:val="99"/>
    <w:pPr>
      <w:tabs>
        <w:tab w:val="center" w:pos="4680"/>
        <w:tab w:val="right" w:pos="9360"/>
      </w:tabs>
    </w:pPr>
  </w:style>
  <w:style w:type="paragraph" w:styleId="9">
    <w:name w:val="Subtitle"/>
    <w:basedOn w:val="1"/>
    <w:next w:val="1"/>
    <w:link w:val="21"/>
    <w:qFormat/>
    <w:uiPriority w:val="11"/>
    <w:p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14:textFill>
        <w14:solidFill>
          <w14:schemeClr w14:val="accent1"/>
        </w14:solidFill>
      </w14:textFill>
    </w:rPr>
  </w:style>
  <w:style w:type="paragraph" w:styleId="10">
    <w:name w:val="Title"/>
    <w:basedOn w:val="1"/>
    <w:next w:val="1"/>
    <w:link w:val="22"/>
    <w:qFormat/>
    <w:uiPriority w:val="10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75E" w:themeColor="text2" w:themeShade="BF"/>
      <w:spacing w:val="5"/>
      <w:kern w:val="28"/>
      <w:sz w:val="52"/>
      <w:szCs w:val="52"/>
    </w:rPr>
  </w:style>
  <w:style w:type="table" w:styleId="12">
    <w:name w:val="Table Grid"/>
    <w:basedOn w:val="11"/>
    <w:qFormat/>
    <w:uiPriority w:val="59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4">
    <w:name w:val="Emphasis"/>
    <w:basedOn w:val="13"/>
    <w:qFormat/>
    <w:uiPriority w:val="20"/>
    <w:rPr>
      <w:i/>
      <w:iCs/>
    </w:rPr>
  </w:style>
  <w:style w:type="character" w:styleId="15">
    <w:name w:val="Hyperlink"/>
    <w:basedOn w:val="13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customStyle="1" w:styleId="16">
    <w:name w:val="Header Char"/>
    <w:basedOn w:val="13"/>
    <w:link w:val="8"/>
    <w:qFormat/>
    <w:uiPriority w:val="99"/>
  </w:style>
  <w:style w:type="character" w:customStyle="1" w:styleId="17">
    <w:name w:val="Heading 1 Char"/>
    <w:basedOn w:val="13"/>
    <w:link w:val="2"/>
    <w:qFormat/>
    <w:uiPriority w:val="9"/>
    <w:rPr>
      <w:rFonts w:asciiTheme="majorHAnsi" w:hAnsiTheme="majorHAnsi" w:eastAsiaTheme="majorEastAsia" w:cstheme="majorBidi"/>
      <w:b/>
      <w:bCs/>
      <w:color w:val="376092" w:themeColor="accent1" w:themeShade="BF"/>
      <w:sz w:val="28"/>
      <w:szCs w:val="28"/>
    </w:rPr>
  </w:style>
  <w:style w:type="character" w:customStyle="1" w:styleId="18">
    <w:name w:val="Heading 2 Char"/>
    <w:basedOn w:val="13"/>
    <w:link w:val="3"/>
    <w:qFormat/>
    <w:uiPriority w:val="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  <w14:textFill>
        <w14:solidFill>
          <w14:schemeClr w14:val="accent1"/>
        </w14:solidFill>
      </w14:textFill>
    </w:rPr>
  </w:style>
  <w:style w:type="character" w:customStyle="1" w:styleId="19">
    <w:name w:val="Heading 3 Char"/>
    <w:basedOn w:val="13"/>
    <w:link w:val="4"/>
    <w:qFormat/>
    <w:uiPriority w:val="9"/>
    <w:rPr>
      <w:rFonts w:asciiTheme="majorHAnsi" w:hAnsiTheme="majorHAnsi" w:eastAsiaTheme="majorEastAsia" w:cstheme="majorBidi"/>
      <w:b/>
      <w:b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20">
    <w:name w:val="Heading 4 Char"/>
    <w:basedOn w:val="13"/>
    <w:link w:val="5"/>
    <w:qFormat/>
    <w:uiPriority w:val="9"/>
    <w:rPr>
      <w:rFonts w:asciiTheme="majorHAnsi" w:hAnsiTheme="majorHAnsi" w:eastAsiaTheme="majorEastAsia" w:cstheme="majorBidi"/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21">
    <w:name w:val="Subtitle Char"/>
    <w:basedOn w:val="13"/>
    <w:link w:val="9"/>
    <w:qFormat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14:textFill>
        <w14:solidFill>
          <w14:schemeClr w14:val="accent1"/>
        </w14:solidFill>
      </w14:textFill>
    </w:rPr>
  </w:style>
  <w:style w:type="character" w:customStyle="1" w:styleId="22">
    <w:name w:val="Title Char"/>
    <w:basedOn w:val="13"/>
    <w:link w:val="10"/>
    <w:qFormat/>
    <w:uiPriority w:val="10"/>
    <w:rPr>
      <w:rFonts w:asciiTheme="majorHAnsi" w:hAnsiTheme="majorHAnsi" w:eastAsiaTheme="majorEastAsia" w:cstheme="majorBidi"/>
      <w:color w:val="17375E" w:themeColor="text2" w:themeShade="BF"/>
      <w:spacing w:val="5"/>
      <w:kern w:val="28"/>
      <w:sz w:val="52"/>
      <w:szCs w:val="52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4</Pages>
  <Words>3674</Words>
  <Characters>4018</Characters>
  <TotalTime>4</TotalTime>
  <ScaleCrop>false</ScaleCrop>
  <LinksUpToDate>false</LinksUpToDate>
  <CharactersWithSpaces>4119</CharactersWithSpaces>
  <Application>WPS Office_12.1.0.25865_F1E327BC-269C-435d-A152-05C5408002CA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2026-03-19T01:30:00Z</dcterms:created>
  <dc:creator>为你守侯</dc:creator>
  <cp:lastModifiedBy>冀小红</cp:lastModifiedBy>
  <dcterms:modified xsi:type="dcterms:W3CDTF">2026-04-22T01:39:43Z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4D82DD704C91415CA504E191BCD0DEC5_13</vt:lpwstr>
  </property>
  <property fmtid="{D5CDD505-2E9C-101B-9397-08002B2CF9AE}" pid="4" name="KSOTemplateDocerSaveRecord">
    <vt:lpwstr>eyJoZGlkIjoiMmZhZDRmZmVmMzA1YjgwOGNjNGZjZTI0M2RmYTYzODciLCJ1c2VySWQiOiI2MTExNTU4MDAifQ==</vt:lpwstr>
  </property>
</Properties>
</file>