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D5779">
      <w:pPr>
        <w:pStyle w:val="4"/>
        <w:spacing w:line="288" w:lineRule="auto"/>
        <w:ind w:firstLine="3092" w:firstLineChars="11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宁夏华夏特钢有限公司</w:t>
      </w:r>
    </w:p>
    <w:p w14:paraId="0CB9B36A">
      <w:pPr>
        <w:pStyle w:val="4"/>
        <w:spacing w:line="288" w:lineRule="auto"/>
        <w:ind w:firstLine="2249" w:firstLineChars="8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直流电弧炉生产中低碳锰铁技改项目</w:t>
      </w:r>
    </w:p>
    <w:p w14:paraId="76FFDA5D">
      <w:pPr>
        <w:pStyle w:val="4"/>
        <w:spacing w:line="288" w:lineRule="auto"/>
        <w:ind w:firstLine="1687" w:firstLineChars="6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20t蓄电池供电电动过跨平车采购技术规格书</w:t>
      </w:r>
    </w:p>
    <w:p w14:paraId="33AFF76B">
      <w:pPr>
        <w:pStyle w:val="5"/>
        <w:spacing w:line="288" w:lineRule="auto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1. 总则</w:t>
      </w:r>
    </w:p>
    <w:p w14:paraId="398A1E03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en-US"/>
        </w:rPr>
        <w:t>1.1 本技术规格书适用于宁夏华夏特钢有限公司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  <w:t>直流电弧炉生产中低碳锰铁技改项目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中，用于在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eastAsia="zh-CN"/>
        </w:rPr>
        <w:t>浇铸跨至渣棚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内水平转运渣包等高温物料的20t蓄电池供电电动过跨平车的采购。它包括对设备的功能设计、性能、运输、安装调试及技术服务的所有要求。</w:t>
      </w:r>
    </w:p>
    <w:p w14:paraId="1BF69A1F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1.2 本规格书提出的是最低限度的技术要求，投标方应保证所提供的设备完全满足。</w:t>
      </w:r>
    </w:p>
    <w:p w14:paraId="1988D3CC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1.3 环境及气象条件：设备须能适应宁夏中宁县的极端环境，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环境温度须满足-30℃至+50℃的工作要求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（根据附件极端数据-30.6℃至+39.3℃，扩展至50℃以应对车间内热辐射），海拔1250m，抗震烈度8度区。</w:t>
      </w:r>
    </w:p>
    <w:p w14:paraId="6DE0D017">
      <w:pPr>
        <w:pStyle w:val="5"/>
        <w:spacing w:line="288" w:lineRule="auto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2. 设备技术参数与性能要求</w:t>
      </w: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6"/>
        <w:gridCol w:w="7461"/>
      </w:tblGrid>
      <w:tr w14:paraId="0DDB1F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3D0E1E66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项目</w:t>
            </w:r>
          </w:p>
        </w:tc>
        <w:tc>
          <w:tcPr>
            <w:tcW w:w="4016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17D7F01C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规格与要求</w:t>
            </w:r>
          </w:p>
        </w:tc>
      </w:tr>
      <w:tr w14:paraId="4FEADF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070D7E89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设备名称</w:t>
            </w:r>
          </w:p>
        </w:tc>
        <w:tc>
          <w:tcPr>
            <w:tcW w:w="4016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3CAF2F4C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蓄电池供电电动过跨平车（KPX系列）</w:t>
            </w:r>
          </w:p>
        </w:tc>
      </w:tr>
      <w:tr w14:paraId="78B065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334122D7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额定载重量</w:t>
            </w:r>
          </w:p>
        </w:tc>
        <w:tc>
          <w:tcPr>
            <w:tcW w:w="4016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384020A2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吨 (200 kN)</w:t>
            </w:r>
          </w:p>
        </w:tc>
      </w:tr>
      <w:tr w14:paraId="66964E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6CF36597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供电方式</w:t>
            </w:r>
          </w:p>
        </w:tc>
        <w:tc>
          <w:tcPr>
            <w:tcW w:w="4016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42459087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低压直流供电，蓄电池供电 (KPX系列)</w:t>
            </w:r>
          </w:p>
        </w:tc>
      </w:tr>
      <w:tr w14:paraId="761372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59021933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蓄电池组</w:t>
            </w:r>
          </w:p>
        </w:tc>
        <w:tc>
          <w:tcPr>
            <w:tcW w:w="4016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71E48D76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24组牵引蓄电池，总电压48V，标称容量不小于300Ah。</w:t>
            </w:r>
          </w:p>
        </w:tc>
      </w:tr>
      <w:tr w14:paraId="309670BB">
        <w:tc>
          <w:tcPr>
            <w:tcW w:w="983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4DB28D35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充电装置</w:t>
            </w:r>
          </w:p>
        </w:tc>
        <w:tc>
          <w:tcPr>
            <w:tcW w:w="4016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5E96F9D4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配高频智能充电机，具备过充、过放保护及充满自动断电功能。充电时间≤8小时，单次充满电续航力不小于5公里。充电机防护等级不低于IP54。</w:t>
            </w:r>
          </w:p>
        </w:tc>
      </w:tr>
      <w:tr w14:paraId="11F34A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32BA7222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运行速度</w:t>
            </w:r>
          </w:p>
        </w:tc>
        <w:tc>
          <w:tcPr>
            <w:tcW w:w="4016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2DE13082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10～25 m/min，变频调速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。满载速度 ≤ 20 m/min，满足平稳启停、精准对位要求。</w:t>
            </w:r>
          </w:p>
        </w:tc>
      </w:tr>
      <w:tr w14:paraId="2B4059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6F751930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运行轨距</w:t>
            </w:r>
          </w:p>
        </w:tc>
        <w:tc>
          <w:tcPr>
            <w:tcW w:w="4016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658A642E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2000 mm</w:t>
            </w:r>
          </w:p>
        </w:tc>
      </w:tr>
      <w:tr w14:paraId="09DCE5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463F8716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台面尺寸</w:t>
            </w:r>
          </w:p>
        </w:tc>
        <w:tc>
          <w:tcPr>
            <w:tcW w:w="4016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6F88B6DD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3200 mm × 3200 mm</w:t>
            </w:r>
          </w:p>
        </w:tc>
      </w:tr>
      <w:tr w14:paraId="464193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0E00D0D5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控制方式</w:t>
            </w:r>
          </w:p>
        </w:tc>
        <w:tc>
          <w:tcPr>
            <w:tcW w:w="4016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135BA142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有线手柄 + 无线遥控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双模式操作。无线遥控器须防水防尘，操作半径≥50米。控制电压为安全电压。</w:t>
            </w:r>
          </w:p>
        </w:tc>
      </w:tr>
      <w:tr w14:paraId="50AFE3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4A39576E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安全防护等级</w:t>
            </w:r>
          </w:p>
        </w:tc>
        <w:tc>
          <w:tcPr>
            <w:tcW w:w="4016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62ED6649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IP54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(整车)，电气控制箱不低于IP55。</w:t>
            </w:r>
          </w:p>
        </w:tc>
      </w:tr>
      <w:tr w14:paraId="79A596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0DB7FC47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车架结构</w:t>
            </w:r>
          </w:p>
        </w:tc>
        <w:tc>
          <w:tcPr>
            <w:tcW w:w="4016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007DC02A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采用Q235-B或更优材质钢板整体焊接成型，箱型梁结构，具有足够的强度和刚度，符合静载、动载试验要求。</w:t>
            </w:r>
          </w:p>
        </w:tc>
      </w:tr>
      <w:tr w14:paraId="5EF4D3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56A51D4F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车轮及轴承</w:t>
            </w:r>
          </w:p>
        </w:tc>
        <w:tc>
          <w:tcPr>
            <w:tcW w:w="4016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46519CF7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采用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铸钢或锻造车轮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，踏面淬火。配备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重型负载轴承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，保证高负载、低速下的稳定运行和长寿命。</w:t>
            </w:r>
          </w:p>
        </w:tc>
      </w:tr>
      <w:tr w14:paraId="0C5082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19F72B87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制动系统</w:t>
            </w:r>
          </w:p>
        </w:tc>
        <w:tc>
          <w:tcPr>
            <w:tcW w:w="4016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565C5784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配备电磁失电制动器，失电时自动抱死，确保运行及驻车安全。满载在平直轨道上制动距离不大于1米。</w:t>
            </w:r>
          </w:p>
        </w:tc>
      </w:tr>
      <w:tr w14:paraId="1DABBB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5902267D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车轮绝缘</w:t>
            </w:r>
          </w:p>
        </w:tc>
        <w:tc>
          <w:tcPr>
            <w:tcW w:w="4016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35555326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车轮与车体之间设置可靠绝缘，防止轨道电流干扰。</w:t>
            </w:r>
          </w:p>
        </w:tc>
      </w:tr>
    </w:tbl>
    <w:p w14:paraId="7AE5CDE7">
      <w:pPr>
        <w:pStyle w:val="5"/>
        <w:spacing w:line="288" w:lineRule="auto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3. 设计、制造与安装要求</w:t>
      </w:r>
    </w:p>
    <w:p w14:paraId="64E57BD8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 xml:space="preserve">3.1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设计标准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：除满足本技术文件外，设备的机械、电气设计须符合国家现行有效的起重运输机械相关标准。</w:t>
      </w:r>
    </w:p>
    <w:p w14:paraId="59F7FF7B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 xml:space="preserve">3.2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驱动配置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：采用两台以上独立驱动电机，双边驱动，确保直线运行和纠偏能力。</w:t>
      </w:r>
    </w:p>
    <w:p w14:paraId="274EEFE9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 xml:space="preserve">3.3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安全装置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：</w:t>
      </w:r>
    </w:p>
    <w:p w14:paraId="33758ACC">
      <w:pPr>
        <w:numPr>
          <w:ilvl w:val="0"/>
          <w:numId w:val="1"/>
        </w:num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配备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紧急停止按钮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（至少2个，车身两端）。</w:t>
      </w:r>
    </w:p>
    <w:p w14:paraId="2C83AF14">
      <w:pPr>
        <w:numPr>
          <w:ilvl w:val="0"/>
          <w:numId w:val="1"/>
        </w:num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配备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声光报警器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，在启动、运行、转弯时自动警示。</w:t>
      </w:r>
    </w:p>
    <w:p w14:paraId="7428B372">
      <w:pPr>
        <w:numPr>
          <w:ilvl w:val="0"/>
          <w:numId w:val="1"/>
        </w:num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配备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防碰撞缓冲装置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，避免与轨道端头或其它设备碰撞。</w:t>
      </w:r>
    </w:p>
    <w:p w14:paraId="059E3104">
      <w:pPr>
        <w:numPr>
          <w:ilvl w:val="0"/>
          <w:numId w:val="1"/>
        </w:num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推荐设置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超载限制器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，当负载达到额定载重的90%时报警，达到105%时断电保护。</w:t>
      </w:r>
    </w:p>
    <w:p w14:paraId="00C186F7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 xml:space="preserve">3.4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电气要求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：</w:t>
      </w:r>
    </w:p>
    <w:p w14:paraId="5DB7B0FA">
      <w:pPr>
        <w:numPr>
          <w:ilvl w:val="0"/>
          <w:numId w:val="1"/>
        </w:num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电动机、控制器、变频器等主要电气元件防护等级不低于IP54，绝缘等级按F级考核，确保在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-30℃至+50℃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环境温度下正常工作。</w:t>
      </w:r>
    </w:p>
    <w:p w14:paraId="6B866A0B">
      <w:pPr>
        <w:numPr>
          <w:ilvl w:val="0"/>
          <w:numId w:val="1"/>
        </w:num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所有电线、电缆均应为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铜芯阻燃型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。</w:t>
      </w:r>
    </w:p>
    <w:p w14:paraId="0356E071">
      <w:pPr>
        <w:numPr>
          <w:ilvl w:val="0"/>
          <w:numId w:val="1"/>
        </w:num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配置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漏电保护、短路保护、失压保护、零位保护、紧急断电保护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。</w:t>
      </w:r>
    </w:p>
    <w:p w14:paraId="07D1A6E0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 xml:space="preserve">3.5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其他要求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：设备表面油漆应采用国标GSB 05-1426-2001标准，颜色由招标方现场确定。</w:t>
      </w:r>
    </w:p>
    <w:p w14:paraId="418EA88C">
      <w:pPr>
        <w:pStyle w:val="5"/>
        <w:spacing w:line="288" w:lineRule="auto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4. 供货范围</w:t>
      </w:r>
    </w:p>
    <w:p w14:paraId="0A6A7516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4.1 整台完整的过跨平车（含蓄电池、充电机）。</w:t>
      </w:r>
    </w:p>
    <w:p w14:paraId="79E764BB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4.2 随车备品备件：不低于车轮2套、轴承1套、易损电气元件1套。</w:t>
      </w:r>
    </w:p>
    <w:p w14:paraId="65CB5CF2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4.3 专用工具。</w:t>
      </w:r>
    </w:p>
    <w:p w14:paraId="76698090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4.4 提供产品总图、电气原理图、接线图、使用说明书、维护手册等完整技术资料。</w:t>
      </w:r>
    </w:p>
    <w:p w14:paraId="2597364B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4.5 提供安装、调试指导及现场操作维护培训。</w:t>
      </w:r>
    </w:p>
    <w:p w14:paraId="6941A2E5">
      <w:pPr>
        <w:pStyle w:val="5"/>
        <w:spacing w:line="288" w:lineRule="auto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5. 试验与验收</w:t>
      </w:r>
    </w:p>
    <w:p w14:paraId="3BFAEC62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 xml:space="preserve">5.1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工厂试验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：制造商必须完成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空载、静载（1.25倍额定载荷）、动载（1.1倍额定载荷）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 xml:space="preserve"> 及全部功能试验，并提供试验报告。</w:t>
      </w:r>
    </w:p>
    <w:p w14:paraId="51CB1E45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 xml:space="preserve">5.2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现场验收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：设备在招标方现场安装调试完成后，需进行满负荷连续运行试验，各项性能指标（速度、制动、控制）须满足技术协议要求。</w:t>
      </w:r>
    </w:p>
    <w:p w14:paraId="5C082FA8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 xml:space="preserve">5.3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质量保证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：整机质保期自最终验收合格之日起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12个月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。在质保期内，所有因设计、制造、材料缺陷造成的损坏，投标方免费修复或更换。</w:t>
      </w:r>
    </w:p>
    <w:p w14:paraId="10502A44">
      <w:pPr>
        <w:pStyle w:val="4"/>
        <w:spacing w:line="288" w:lineRule="auto"/>
        <w:ind w:firstLine="3092" w:firstLineChars="11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</w:pPr>
    </w:p>
    <w:p w14:paraId="00FD23A0">
      <w:pPr>
        <w:pStyle w:val="4"/>
        <w:spacing w:line="288" w:lineRule="auto"/>
        <w:ind w:firstLine="3092" w:firstLineChars="11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</w:pPr>
    </w:p>
    <w:p w14:paraId="2AD2279C">
      <w:pPr>
        <w:pStyle w:val="4"/>
        <w:spacing w:line="288" w:lineRule="auto"/>
        <w:ind w:firstLine="3092" w:firstLineChars="11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</w:pPr>
    </w:p>
    <w:p w14:paraId="48271C72">
      <w:pPr>
        <w:pStyle w:val="4"/>
        <w:spacing w:line="288" w:lineRule="auto"/>
        <w:ind w:firstLine="3092" w:firstLineChars="11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</w:pPr>
    </w:p>
    <w:p w14:paraId="749DD9F8">
      <w:pPr>
        <w:pStyle w:val="4"/>
        <w:spacing w:line="288" w:lineRule="auto"/>
        <w:ind w:firstLine="3092" w:firstLineChars="11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</w:pPr>
    </w:p>
    <w:p w14:paraId="4ED473B1">
      <w:pPr>
        <w:pStyle w:val="4"/>
        <w:spacing w:line="288" w:lineRule="auto"/>
        <w:ind w:firstLine="3092" w:firstLineChars="11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</w:pPr>
    </w:p>
    <w:p w14:paraId="58C2A41F">
      <w:pPr>
        <w:pStyle w:val="4"/>
        <w:spacing w:line="288" w:lineRule="auto"/>
        <w:jc w:val="left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</w:pPr>
    </w:p>
    <w:p w14:paraId="62CB3B3E">
      <w:pP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</w:pPr>
    </w:p>
    <w:p w14:paraId="50F4AA9E">
      <w:pP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</w:pPr>
    </w:p>
    <w:p w14:paraId="19774873">
      <w:pP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</w:pPr>
    </w:p>
    <w:p w14:paraId="69AE7455">
      <w:pPr>
        <w:pStyle w:val="4"/>
        <w:spacing w:line="288" w:lineRule="auto"/>
        <w:ind w:firstLine="3092" w:firstLineChars="11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宁夏华夏特钢有限公司</w:t>
      </w:r>
    </w:p>
    <w:p w14:paraId="748EAF97">
      <w:pPr>
        <w:pStyle w:val="4"/>
        <w:spacing w:line="288" w:lineRule="auto"/>
        <w:ind w:firstLine="2249" w:firstLineChars="8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直流电弧炉生产中低碳锰铁技改项目</w:t>
      </w:r>
    </w:p>
    <w:p w14:paraId="5736B420">
      <w:pPr>
        <w:pStyle w:val="4"/>
        <w:spacing w:line="288" w:lineRule="auto"/>
        <w:ind w:firstLine="2249" w:firstLineChars="8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2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t电动液压旋转平台采购技术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  <w:lang w:eastAsia="zh-CN"/>
        </w:rPr>
        <w:t>文件</w:t>
      </w:r>
    </w:p>
    <w:p w14:paraId="74C293F8">
      <w:pPr>
        <w:pStyle w:val="5"/>
        <w:spacing w:line="288" w:lineRule="auto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1. 总则</w:t>
      </w:r>
    </w:p>
    <w:p w14:paraId="53D5AC72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1.1 本技术规格书适用于宁夏华夏特钢有限公司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  <w:t>直流电弧炉生产中低碳锰铁技改项目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中，接收过跨平车运载的渣包并进行90°旋转，以实现与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eastAsia="zh-CN"/>
        </w:rPr>
        <w:t>浇铸跨和渣棚轨道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精准对位作业的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2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t电动液压旋转平台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的采购。</w:t>
      </w:r>
    </w:p>
    <w:p w14:paraId="2738D833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1.2 平台需承载过跨平车及其载重总重，并进行精准、平稳的旋转定位。</w:t>
      </w:r>
    </w:p>
    <w:p w14:paraId="19F7869E">
      <w:pPr>
        <w:pStyle w:val="5"/>
        <w:spacing w:line="288" w:lineRule="auto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2. 设备技术参数与性能要求</w:t>
      </w: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7693"/>
      </w:tblGrid>
      <w:tr w14:paraId="046F3F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3161B90D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项目</w:t>
            </w:r>
          </w:p>
        </w:tc>
        <w:tc>
          <w:tcPr>
            <w:tcW w:w="4141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00D81B32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规格与要求</w:t>
            </w:r>
          </w:p>
        </w:tc>
      </w:tr>
      <w:tr w14:paraId="1D0BF1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275374CA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设备名称</w:t>
            </w:r>
          </w:p>
        </w:tc>
        <w:tc>
          <w:tcPr>
            <w:tcW w:w="4141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26F0F326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电动液压旋转平台 / 回转平台</w:t>
            </w:r>
          </w:p>
        </w:tc>
      </w:tr>
      <w:tr w14:paraId="5B4FB0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4EDC920A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额定承重</w:t>
            </w:r>
          </w:p>
        </w:tc>
        <w:tc>
          <w:tcPr>
            <w:tcW w:w="4141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6005AA37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t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(承受载荷为过跨平车自重+最大负载)</w:t>
            </w:r>
          </w:p>
        </w:tc>
      </w:tr>
      <w:tr w14:paraId="3E0102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69CE2868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台面尺寸</w:t>
            </w:r>
          </w:p>
        </w:tc>
        <w:tc>
          <w:tcPr>
            <w:tcW w:w="4141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26B8CCED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有效承载面≥2500 mm × 2000 mm</w:t>
            </w:r>
          </w:p>
        </w:tc>
      </w:tr>
      <w:tr w14:paraId="1784F9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79E77800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旋转直径</w:t>
            </w:r>
          </w:p>
        </w:tc>
        <w:tc>
          <w:tcPr>
            <w:tcW w:w="4141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3F194444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≤2800 mm</w:t>
            </w:r>
          </w:p>
        </w:tc>
      </w:tr>
      <w:tr w14:paraId="40B2FD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344024C9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旋转速度</w:t>
            </w:r>
          </w:p>
        </w:tc>
        <w:tc>
          <w:tcPr>
            <w:tcW w:w="4141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24BD5747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0.5 – 2 rpm (可调)</w:t>
            </w:r>
          </w:p>
        </w:tc>
      </w:tr>
      <w:tr w14:paraId="4036DE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56EF3D52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旋转角度</w:t>
            </w:r>
          </w:p>
        </w:tc>
        <w:tc>
          <w:tcPr>
            <w:tcW w:w="4141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1DC029E2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0°-360°连续可调</w:t>
            </w:r>
          </w:p>
        </w:tc>
      </w:tr>
      <w:tr w14:paraId="5424D4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1003955D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定位精度</w:t>
            </w:r>
          </w:p>
        </w:tc>
        <w:tc>
          <w:tcPr>
            <w:tcW w:w="4141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0740D825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旋转到位后，通过机械锁紧装置（如插销）或液压锁紧，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定位精度误差≤±2.5mm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。</w:t>
            </w:r>
          </w:p>
        </w:tc>
      </w:tr>
      <w:tr w14:paraId="2D7761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7794F4C9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驱动方式</w:t>
            </w:r>
          </w:p>
        </w:tc>
        <w:tc>
          <w:tcPr>
            <w:tcW w:w="4141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0EABD7FA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优先采用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电机+液压驱动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，由电动机驱动液压泵站，带动液压马达或油缸推动旋转轴承传动。应确保低速大扭矩，启停平稳无冲击。</w:t>
            </w:r>
          </w:p>
        </w:tc>
      </w:tr>
      <w:tr w14:paraId="409AA3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4126DD7B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控制方式</w:t>
            </w:r>
          </w:p>
        </w:tc>
        <w:tc>
          <w:tcPr>
            <w:tcW w:w="4141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065290CD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点动、联动控制。可选配遥控。</w:t>
            </w:r>
          </w:p>
        </w:tc>
      </w:tr>
      <w:tr w14:paraId="41DAF2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6B4E0DE0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台面结构</w:t>
            </w:r>
          </w:p>
        </w:tc>
        <w:tc>
          <w:tcPr>
            <w:tcW w:w="4141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0ED430A6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钢板焊接，铺设6-10mm厚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花纹钢防滑板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或铺设专用防滑橡胶板。</w:t>
            </w:r>
          </w:p>
        </w:tc>
      </w:tr>
      <w:tr w14:paraId="339C07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4B91DADA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安全装置</w:t>
            </w:r>
          </w:p>
        </w:tc>
        <w:tc>
          <w:tcPr>
            <w:tcW w:w="4141" w:type="pct"/>
            <w:tcBorders>
              <w:top w:val="single" w:color="222222" w:sz="6" w:space="0"/>
              <w:left w:val="single" w:color="222222" w:sz="6" w:space="0"/>
              <w:bottom w:val="single" w:color="222222" w:sz="6" w:space="0"/>
              <w:right w:val="single" w:color="222222" w:sz="6" w:space="0"/>
            </w:tcBorders>
          </w:tcPr>
          <w:p w14:paraId="2F971B33">
            <w:pPr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须配备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机械式安全插销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（锁紧在固定基座上）；旋转过程中应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有声光报警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；台面边缘需加装不低于100mm的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防护栏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；配备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8"/>
                <w:szCs w:val="28"/>
              </w:rPr>
              <w:t>紧急停止按钮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。</w:t>
            </w:r>
          </w:p>
        </w:tc>
      </w:tr>
    </w:tbl>
    <w:p w14:paraId="6F23F8E8">
      <w:pPr>
        <w:pStyle w:val="5"/>
        <w:spacing w:line="288" w:lineRule="auto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3. 设计、制造与安装要求</w:t>
      </w:r>
    </w:p>
    <w:p w14:paraId="4B39907A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 xml:space="preserve">3.1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结构要求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：</w:t>
      </w:r>
    </w:p>
    <w:p w14:paraId="79C74E50">
      <w:pPr>
        <w:numPr>
          <w:ilvl w:val="0"/>
          <w:numId w:val="2"/>
        </w:num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基础结构（底盘）须采用整体式箱形结构，由高强度钢板焊接而成，并做消除应力处理。</w:t>
      </w:r>
    </w:p>
    <w:p w14:paraId="6D1259CE">
      <w:pPr>
        <w:numPr>
          <w:ilvl w:val="0"/>
          <w:numId w:val="2"/>
        </w:num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台面与旋转机构连接应牢固可靠，保证在最大负载下，台面水平度误差≤2/1000。</w:t>
      </w:r>
    </w:p>
    <w:p w14:paraId="057EC488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 xml:space="preserve">3.2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旋转机构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：旋转核心部件必须采用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精密回转支承轴承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，其承载能力安全系数不低于2.5，精度等级不低于P4级，确保旋转平稳、低噪音、高承载。</w:t>
      </w:r>
    </w:p>
    <w:p w14:paraId="5542400D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 xml:space="preserve">3.3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驱动及液压系统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：</w:t>
      </w:r>
    </w:p>
    <w:p w14:paraId="1F6089EE">
      <w:pPr>
        <w:numPr>
          <w:ilvl w:val="0"/>
          <w:numId w:val="2"/>
        </w:num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液压泵站应为集成封闭式结构，油箱带液位、温度及过滤报警功能。液压油温在连续工作下应稳定在规定范围。</w:t>
      </w:r>
    </w:p>
    <w:p w14:paraId="6924FA4B">
      <w:pPr>
        <w:numPr>
          <w:ilvl w:val="0"/>
          <w:numId w:val="2"/>
        </w:num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系统须防泄漏，主要管路及接头耐压等级为工作压力的1.5倍以上。</w:t>
      </w:r>
    </w:p>
    <w:p w14:paraId="6432BD4C">
      <w:pPr>
        <w:numPr>
          <w:ilvl w:val="0"/>
          <w:numId w:val="2"/>
        </w:num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必须配备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液压锁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，在失电情况下保证平台锁止不动，不会因负载自行下滑或旋转。</w:t>
      </w:r>
    </w:p>
    <w:p w14:paraId="523B505C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 xml:space="preserve">3.4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环境适应性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：设备须适应室内多尘及可能的溅落铁屑环境。靠近热源时应采取隔热措施。</w:t>
      </w:r>
    </w:p>
    <w:p w14:paraId="22AAB00E">
      <w:pPr>
        <w:pStyle w:val="5"/>
        <w:spacing w:line="288" w:lineRule="auto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4. 供货范围</w:t>
      </w:r>
    </w:p>
    <w:p w14:paraId="16860FEA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4.1 整台旋转平台（含驱动液压泵站、回转支承、台面、控制系统）。</w:t>
      </w:r>
    </w:p>
    <w:p w14:paraId="7DB393CC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4.2 专用安装及锁紧工具。</w:t>
      </w:r>
    </w:p>
    <w:p w14:paraId="715D6CB9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4.3 液压系统专用备用密封件一套。</w:t>
      </w:r>
    </w:p>
    <w:p w14:paraId="376986FC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4.4 提供产品总图、安装地基图、液压原理图、电气接线图、使用维护说明书。</w:t>
      </w:r>
    </w:p>
    <w:p w14:paraId="6F5801DC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t>4.5 提供安装调试及培训服务。</w:t>
      </w:r>
    </w:p>
    <w:p w14:paraId="388BE9E9">
      <w:pPr>
        <w:pStyle w:val="4"/>
        <w:spacing w:line="288" w:lineRule="auto"/>
        <w:ind w:firstLine="3092" w:firstLineChars="11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</w:pPr>
    </w:p>
    <w:p w14:paraId="60BE8195">
      <w:pPr>
        <w:pStyle w:val="4"/>
        <w:spacing w:line="288" w:lineRule="auto"/>
        <w:ind w:firstLine="2650" w:firstLineChars="11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</w:pPr>
    </w:p>
    <w:p w14:paraId="01DB3A4E">
      <w:pPr>
        <w:pStyle w:val="4"/>
        <w:spacing w:line="288" w:lineRule="auto"/>
        <w:ind w:firstLine="2650" w:firstLineChars="11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</w:pPr>
    </w:p>
    <w:p w14:paraId="1E7C0BE2">
      <w:pPr>
        <w:pStyle w:val="4"/>
        <w:spacing w:line="288" w:lineRule="auto"/>
        <w:ind w:firstLine="2650" w:firstLineChars="11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</w:pPr>
    </w:p>
    <w:p w14:paraId="37101F73">
      <w:pPr>
        <w:pStyle w:val="4"/>
        <w:spacing w:line="288" w:lineRule="auto"/>
        <w:ind w:firstLine="2650" w:firstLineChars="11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</w:pPr>
    </w:p>
    <w:p w14:paraId="113624AA">
      <w:pPr>
        <w:pStyle w:val="4"/>
        <w:spacing w:line="288" w:lineRule="auto"/>
        <w:ind w:firstLine="2650" w:firstLineChars="11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</w:pPr>
    </w:p>
    <w:p w14:paraId="4F08F5C6">
      <w:pPr>
        <w:pStyle w:val="4"/>
        <w:spacing w:line="288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</w:pPr>
    </w:p>
    <w:p w14:paraId="4C47FBCF">
      <w:pP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</w:pPr>
    </w:p>
    <w:p w14:paraId="71E8FCF2">
      <w:pP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</w:pPr>
    </w:p>
    <w:p w14:paraId="336BDDFA">
      <w:pP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</w:pPr>
    </w:p>
    <w:p w14:paraId="4BE038FC">
      <w:pP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</w:pPr>
    </w:p>
    <w:p w14:paraId="50D6C32D">
      <w:pPr>
        <w:pStyle w:val="4"/>
        <w:spacing w:line="288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</w:pPr>
    </w:p>
    <w:p w14:paraId="01E4098D">
      <w:pPr>
        <w:rPr>
          <w:rFonts w:hint="eastAsia"/>
          <w:lang w:eastAsia="zh-CN"/>
        </w:rPr>
      </w:pPr>
    </w:p>
    <w:p w14:paraId="2ED723FB">
      <w:pPr>
        <w:spacing w:line="288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361" w:right="1361" w:bottom="1247" w:left="1474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2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useFELayout/>
    <w:compatSetting w:name="compatibilityMode" w:uri="http://schemas.microsoft.com/office/word" w:val="16"/>
    <w:compatSetting w:name="overrideTableStyleFontSizeAndJustification" w:uri="http://schemas.microsoft.com/office/word" w:val="1"/>
  </w:compat>
  <w:rsids>
    <w:rsidRoot w:val="00000000"/>
    <w:rsid w:val="00BF52BD"/>
    <w:rsid w:val="0F4A72A2"/>
    <w:rsid w:val="130312C6"/>
    <w:rsid w:val="22AD56A2"/>
    <w:rsid w:val="2964062C"/>
    <w:rsid w:val="60163AFE"/>
    <w:rsid w:val="75246B7F"/>
    <w:rsid w:val="7F1C10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beforeLines="0" w:after="0" w:afterLines="0" w:line="240" w:lineRule="auto"/>
      <w:jc w:val="both"/>
    </w:pPr>
    <w:rPr>
      <w:rFonts w:ascii="Calibri" w:hAnsi="Calibri" w:eastAsia="等线" w:cs="21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000000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000000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000000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000000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qFormat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8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Header Char"/>
    <w:basedOn w:val="13"/>
    <w:link w:val="8"/>
    <w:qFormat/>
    <w:uiPriority w:val="99"/>
  </w:style>
  <w:style w:type="character" w:customStyle="1" w:styleId="17">
    <w:name w:val="Heading 1 Char"/>
    <w:basedOn w:val="13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9">
    <w:name w:val="Heading 3 Char"/>
    <w:basedOn w:val="13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0">
    <w:name w:val="Heading 4 Char"/>
    <w:basedOn w:val="13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1">
    <w:name w:val="Subtitle Char"/>
    <w:basedOn w:val="13"/>
    <w:link w:val="9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22">
    <w:name w:val="Title Char"/>
    <w:basedOn w:val="13"/>
    <w:link w:val="10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3674</Words>
  <Characters>4018</Characters>
  <TotalTime>3</TotalTime>
  <ScaleCrop>false</ScaleCrop>
  <LinksUpToDate>false</LinksUpToDate>
  <CharactersWithSpaces>4119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2026-03-19T01:30:00Z</dcterms:created>
  <dc:creator>为你守侯</dc:creator>
  <cp:lastModifiedBy>冀小红</cp:lastModifiedBy>
  <dcterms:modified xsi:type="dcterms:W3CDTF">2026-04-22T01:58:11Z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4D82DD704C91415CA504E191BCD0DEC5_13</vt:lpwstr>
  </property>
  <property fmtid="{D5CDD505-2E9C-101B-9397-08002B2CF9AE}" pid="4" name="KSOTemplateDocerSaveRecord">
    <vt:lpwstr>eyJoZGlkIjoiMmZhZDRmZmVmMzA1YjgwOGNjNGZjZTI0M2RmYTYzODciLCJ1c2VySWQiOiI2MTExNTU4MDAifQ==</vt:lpwstr>
  </property>
</Properties>
</file>