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ECCE1">
      <w:pPr>
        <w:pStyle w:val="5"/>
        <w:keepNext w:val="0"/>
        <w:keepLines w:val="0"/>
        <w:pageBreakBefore w:val="0"/>
        <w:wordWrap/>
        <w:topLinePunct w:val="0"/>
        <w:bidi w:val="0"/>
        <w:adjustRightInd w:val="0"/>
        <w:snapToGrid w:val="0"/>
        <w:spacing w:before="156" w:beforeLines="50" w:after="156" w:afterLines="50" w:line="360" w:lineRule="auto"/>
        <w:ind w:left="744" w:leftChars="1" w:hanging="742" w:hangingChars="168"/>
        <w:jc w:val="center"/>
        <w:textAlignment w:val="auto"/>
        <w:outlineLvl w:val="9"/>
        <w:rPr>
          <w:rFonts w:ascii="Arial Narrow" w:hAnsi="Arial Narrow" w:cs="Arial Narrow"/>
          <w:b/>
          <w:bCs/>
          <w:sz w:val="44"/>
          <w:szCs w:val="44"/>
        </w:rPr>
      </w:pPr>
      <w:bookmarkStart w:id="0" w:name="_Toc18179"/>
      <w:bookmarkStart w:id="1" w:name="_Toc15416"/>
      <w:bookmarkStart w:id="2" w:name="heading_3"/>
      <w:r>
        <w:rPr>
          <w:rFonts w:ascii="Arial Narrow" w:hAnsi="Arial Narrow" w:cs="Arial Narrow"/>
          <w:b/>
          <w:bCs/>
          <w:sz w:val="44"/>
          <w:szCs w:val="44"/>
        </w:rPr>
        <w:t>宁夏</w:t>
      </w:r>
      <w:r>
        <w:rPr>
          <w:rFonts w:hint="eastAsia" w:ascii="Arial Narrow" w:hAnsi="Arial Narrow" w:cs="Arial Narrow"/>
          <w:b/>
          <w:bCs/>
          <w:sz w:val="44"/>
          <w:szCs w:val="44"/>
          <w:lang w:val="en-US" w:eastAsia="zh-CN"/>
        </w:rPr>
        <w:t>天元特钢</w:t>
      </w:r>
      <w:r>
        <w:rPr>
          <w:rFonts w:ascii="Arial Narrow" w:hAnsi="Arial Narrow" w:cs="Arial Narrow"/>
          <w:b/>
          <w:bCs/>
          <w:sz w:val="44"/>
          <w:szCs w:val="44"/>
        </w:rPr>
        <w:t>有限公司</w:t>
      </w:r>
      <w:bookmarkEnd w:id="0"/>
      <w:bookmarkEnd w:id="1"/>
    </w:p>
    <w:p w14:paraId="77C686EA">
      <w:pPr>
        <w:keepNext w:val="0"/>
        <w:keepLines w:val="0"/>
        <w:pageBreakBefore w:val="0"/>
        <w:wordWrap/>
        <w:topLinePunct w:val="0"/>
        <w:bidi w:val="0"/>
        <w:adjustRightInd w:val="0"/>
        <w:snapToGrid w:val="0"/>
        <w:spacing w:line="360" w:lineRule="auto"/>
        <w:ind w:left="-176" w:leftChars="-85" w:hanging="2"/>
        <w:jc w:val="center"/>
        <w:textAlignment w:val="auto"/>
        <w:outlineLvl w:val="9"/>
        <w:rPr>
          <w:rFonts w:ascii="Arial Narrow" w:hAnsi="Arial Narrow" w:cs="Arial Narrow"/>
          <w:b/>
          <w:bCs/>
          <w:sz w:val="44"/>
          <w:szCs w:val="44"/>
        </w:rPr>
      </w:pPr>
      <w:r>
        <w:rPr>
          <w:rFonts w:ascii="Arial Narrow" w:hAnsi="Arial Narrow" w:cs="Arial Narrow"/>
          <w:b/>
          <w:bCs/>
          <w:sz w:val="44"/>
          <w:szCs w:val="44"/>
        </w:rPr>
        <w:t>锰</w:t>
      </w:r>
      <w:r>
        <w:rPr>
          <w:rFonts w:hint="eastAsia" w:ascii="Arial Narrow" w:hAnsi="Arial Narrow" w:cs="Arial Narrow"/>
          <w:b/>
          <w:bCs/>
          <w:sz w:val="44"/>
          <w:szCs w:val="44"/>
        </w:rPr>
        <w:t>锭</w:t>
      </w:r>
      <w:r>
        <w:rPr>
          <w:rFonts w:ascii="Arial Narrow" w:hAnsi="Arial Narrow" w:cs="Arial Narrow"/>
          <w:b/>
          <w:bCs/>
          <w:sz w:val="44"/>
          <w:szCs w:val="44"/>
        </w:rPr>
        <w:t>熔炼项目</w:t>
      </w:r>
      <w:bookmarkStart w:id="71" w:name="_GoBack"/>
      <w:bookmarkEnd w:id="71"/>
    </w:p>
    <w:p w14:paraId="3030E6AF">
      <w:pPr>
        <w:keepNext w:val="0"/>
        <w:keepLines w:val="0"/>
        <w:pageBreakBefore w:val="0"/>
        <w:wordWrap/>
        <w:topLinePunct w:val="0"/>
        <w:bidi w:val="0"/>
        <w:adjustRightInd w:val="0"/>
        <w:snapToGrid w:val="0"/>
        <w:spacing w:line="360" w:lineRule="auto"/>
        <w:jc w:val="both"/>
        <w:textAlignment w:val="auto"/>
        <w:outlineLvl w:val="9"/>
        <w:rPr>
          <w:rFonts w:ascii="Arial Narrow" w:hAnsi="Arial Narrow" w:cs="Arial Narrow"/>
          <w:b/>
          <w:bCs/>
          <w:sz w:val="44"/>
          <w:szCs w:val="44"/>
        </w:rPr>
      </w:pPr>
    </w:p>
    <w:p w14:paraId="7098D7C1">
      <w:pPr>
        <w:pStyle w:val="5"/>
        <w:keepNext w:val="0"/>
        <w:keepLines w:val="0"/>
        <w:pageBreakBefore w:val="0"/>
        <w:wordWrap/>
        <w:topLinePunct w:val="0"/>
        <w:bidi w:val="0"/>
        <w:adjustRightInd w:val="0"/>
        <w:snapToGrid w:val="0"/>
        <w:spacing w:before="156" w:beforeLines="50" w:after="156" w:afterLines="50" w:line="360" w:lineRule="auto"/>
        <w:ind w:left="744" w:leftChars="1" w:hanging="742" w:hangingChars="168"/>
        <w:jc w:val="center"/>
        <w:textAlignment w:val="auto"/>
        <w:outlineLvl w:val="9"/>
        <w:rPr>
          <w:rFonts w:hint="eastAsia" w:ascii="Arial Narrow" w:hAnsi="Arial Narrow" w:cs="Arial Narrow"/>
          <w:b/>
          <w:bCs/>
          <w:sz w:val="44"/>
          <w:szCs w:val="44"/>
          <w:lang w:val="en-US" w:eastAsia="zh-CN"/>
        </w:rPr>
      </w:pPr>
    </w:p>
    <w:p w14:paraId="4B11C232">
      <w:pPr>
        <w:pStyle w:val="5"/>
        <w:keepNext w:val="0"/>
        <w:keepLines w:val="0"/>
        <w:pageBreakBefore w:val="0"/>
        <w:wordWrap/>
        <w:topLinePunct w:val="0"/>
        <w:bidi w:val="0"/>
        <w:adjustRightInd w:val="0"/>
        <w:snapToGrid w:val="0"/>
        <w:spacing w:before="156" w:beforeLines="50" w:after="156" w:afterLines="50" w:line="360" w:lineRule="auto"/>
        <w:ind w:left="744" w:leftChars="1" w:hanging="742" w:hangingChars="168"/>
        <w:jc w:val="center"/>
        <w:textAlignment w:val="auto"/>
        <w:outlineLvl w:val="9"/>
        <w:rPr>
          <w:rFonts w:hint="default" w:ascii="Arial Narrow" w:hAnsi="Arial Narrow" w:cs="Arial Narrow"/>
          <w:b/>
          <w:bCs/>
          <w:sz w:val="44"/>
          <w:szCs w:val="44"/>
          <w:lang w:val="en-US" w:eastAsia="zh-CN"/>
        </w:rPr>
      </w:pPr>
      <w:r>
        <w:rPr>
          <w:rFonts w:hint="eastAsia" w:ascii="Arial Narrow" w:hAnsi="Arial Narrow" w:cs="Arial Narrow"/>
          <w:b/>
          <w:bCs/>
          <w:sz w:val="44"/>
          <w:szCs w:val="44"/>
          <w:lang w:val="en-US" w:eastAsia="zh-CN"/>
        </w:rPr>
        <w:t>厂区网络监控及广播系统</w:t>
      </w:r>
    </w:p>
    <w:p w14:paraId="00AEC515">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jc w:val="center"/>
        <w:textAlignment w:val="auto"/>
        <w:outlineLvl w:val="9"/>
        <w:rPr>
          <w:rFonts w:ascii="Arial Narrow" w:hAnsi="Arial Narrow" w:cs="Arial Narrow"/>
          <w:b/>
          <w:bCs/>
          <w:sz w:val="56"/>
          <w:szCs w:val="56"/>
        </w:rPr>
      </w:pPr>
      <w:bookmarkStart w:id="3" w:name="_Toc7444"/>
      <w:bookmarkStart w:id="4" w:name="_Toc4036"/>
    </w:p>
    <w:p w14:paraId="5EEDB3E9">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jc w:val="both"/>
        <w:textAlignment w:val="auto"/>
        <w:outlineLvl w:val="9"/>
        <w:rPr>
          <w:rFonts w:ascii="Arial Narrow" w:hAnsi="Arial Narrow" w:cs="Arial Narrow"/>
          <w:b/>
          <w:bCs/>
          <w:sz w:val="11"/>
          <w:szCs w:val="11"/>
        </w:rPr>
      </w:pPr>
    </w:p>
    <w:p w14:paraId="0353C68B">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jc w:val="center"/>
        <w:textAlignment w:val="auto"/>
        <w:outlineLvl w:val="9"/>
        <w:rPr>
          <w:rFonts w:ascii="Arial Narrow" w:hAnsi="Arial Narrow" w:cs="Arial Narrow"/>
          <w:b/>
          <w:bCs/>
          <w:sz w:val="72"/>
          <w:szCs w:val="72"/>
        </w:rPr>
      </w:pPr>
      <w:r>
        <w:rPr>
          <w:rFonts w:ascii="Arial Narrow" w:hAnsi="Arial Narrow" w:cs="Arial Narrow"/>
          <w:b/>
          <w:bCs/>
          <w:sz w:val="72"/>
          <w:szCs w:val="72"/>
        </w:rPr>
        <w:t>技</w:t>
      </w:r>
      <w:bookmarkEnd w:id="3"/>
      <w:bookmarkEnd w:id="4"/>
    </w:p>
    <w:p w14:paraId="3FF475D3">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jc w:val="center"/>
        <w:textAlignment w:val="auto"/>
        <w:outlineLvl w:val="9"/>
        <w:rPr>
          <w:rFonts w:ascii="Arial Narrow" w:hAnsi="Arial Narrow" w:cs="Arial Narrow"/>
          <w:b/>
          <w:bCs/>
          <w:sz w:val="72"/>
          <w:szCs w:val="72"/>
        </w:rPr>
      </w:pPr>
      <w:bookmarkStart w:id="5" w:name="_Toc23103"/>
      <w:bookmarkStart w:id="6" w:name="_Toc18811"/>
      <w:r>
        <w:rPr>
          <w:rFonts w:ascii="Arial Narrow" w:hAnsi="Arial Narrow" w:cs="Arial Narrow"/>
          <w:b/>
          <w:bCs/>
          <w:sz w:val="72"/>
          <w:szCs w:val="72"/>
        </w:rPr>
        <w:t>术</w:t>
      </w:r>
      <w:bookmarkEnd w:id="5"/>
      <w:bookmarkEnd w:id="6"/>
    </w:p>
    <w:p w14:paraId="2058E364">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jc w:val="center"/>
        <w:textAlignment w:val="auto"/>
        <w:outlineLvl w:val="9"/>
        <w:rPr>
          <w:rFonts w:ascii="Arial Narrow" w:hAnsi="Arial Narrow" w:cs="Arial Narrow"/>
          <w:b/>
          <w:bCs/>
          <w:sz w:val="72"/>
          <w:szCs w:val="72"/>
        </w:rPr>
      </w:pPr>
      <w:bookmarkStart w:id="7" w:name="_Toc17055"/>
      <w:bookmarkStart w:id="8" w:name="_Toc20376"/>
      <w:r>
        <w:rPr>
          <w:rFonts w:ascii="Arial Narrow" w:hAnsi="Arial Narrow" w:cs="Arial Narrow"/>
          <w:b/>
          <w:bCs/>
          <w:sz w:val="72"/>
          <w:szCs w:val="72"/>
        </w:rPr>
        <w:t>协</w:t>
      </w:r>
      <w:bookmarkEnd w:id="7"/>
      <w:bookmarkEnd w:id="8"/>
    </w:p>
    <w:p w14:paraId="0D18459A">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jc w:val="center"/>
        <w:textAlignment w:val="auto"/>
        <w:outlineLvl w:val="9"/>
        <w:rPr>
          <w:rFonts w:ascii="Arial Narrow" w:hAnsi="Arial Narrow" w:cs="Arial Narrow"/>
          <w:b/>
          <w:sz w:val="52"/>
          <w:szCs w:val="52"/>
        </w:rPr>
      </w:pPr>
      <w:bookmarkStart w:id="9" w:name="_Toc32150"/>
      <w:bookmarkStart w:id="10" w:name="_Toc11162"/>
      <w:r>
        <w:rPr>
          <w:rFonts w:ascii="Arial Narrow" w:hAnsi="Arial Narrow" w:cs="Arial Narrow"/>
          <w:b/>
          <w:bCs/>
          <w:sz w:val="72"/>
          <w:szCs w:val="72"/>
        </w:rPr>
        <w:t>议</w:t>
      </w:r>
      <w:bookmarkEnd w:id="9"/>
      <w:bookmarkEnd w:id="10"/>
    </w:p>
    <w:p w14:paraId="7732E95A">
      <w:pPr>
        <w:keepNext w:val="0"/>
        <w:keepLines w:val="0"/>
        <w:pageBreakBefore w:val="0"/>
        <w:wordWrap/>
        <w:topLinePunct w:val="0"/>
        <w:bidi w:val="0"/>
        <w:adjustRightInd w:val="0"/>
        <w:snapToGrid w:val="0"/>
        <w:textAlignment w:val="auto"/>
        <w:outlineLvl w:val="9"/>
        <w:rPr>
          <w:rFonts w:ascii="Arial Narrow" w:hAnsi="Arial Narrow" w:cs="Arial Narrow"/>
          <w:b/>
          <w:sz w:val="32"/>
        </w:rPr>
      </w:pPr>
    </w:p>
    <w:p w14:paraId="772F1BAD">
      <w:pPr>
        <w:pStyle w:val="5"/>
        <w:keepNext w:val="0"/>
        <w:keepLines w:val="0"/>
        <w:pageBreakBefore w:val="0"/>
        <w:wordWrap/>
        <w:topLinePunct w:val="0"/>
        <w:bidi w:val="0"/>
        <w:adjustRightInd w:val="0"/>
        <w:snapToGrid w:val="0"/>
        <w:spacing w:before="156" w:beforeLines="50" w:after="156" w:afterLines="50" w:line="360" w:lineRule="auto"/>
        <w:ind w:left="0" w:firstLine="2249" w:firstLineChars="700"/>
        <w:textAlignment w:val="auto"/>
        <w:outlineLvl w:val="9"/>
        <w:rPr>
          <w:rFonts w:ascii="Arial Narrow" w:hAnsi="Arial Narrow" w:cs="Arial Narrow"/>
          <w:b/>
          <w:sz w:val="32"/>
          <w:szCs w:val="32"/>
        </w:rPr>
      </w:pPr>
      <w:bookmarkStart w:id="11" w:name="_Toc13624"/>
      <w:bookmarkStart w:id="12" w:name="_Toc29727"/>
      <w:r>
        <w:rPr>
          <w:rFonts w:hint="eastAsia" w:ascii="Arial Narrow" w:hAnsi="Arial Narrow" w:cs="Arial Narrow"/>
          <w:b/>
          <w:sz w:val="32"/>
          <w:szCs w:val="32"/>
        </w:rPr>
        <w:t>买</w:t>
      </w:r>
      <w:r>
        <w:rPr>
          <w:rFonts w:ascii="Arial Narrow" w:hAnsi="Arial Narrow" w:cs="Arial Narrow"/>
          <w:b/>
          <w:sz w:val="32"/>
          <w:szCs w:val="32"/>
        </w:rPr>
        <w:t>方：宁夏</w:t>
      </w:r>
      <w:r>
        <w:rPr>
          <w:rFonts w:hint="eastAsia" w:ascii="Arial Narrow" w:hAnsi="Arial Narrow" w:cs="Arial Narrow"/>
          <w:b/>
          <w:sz w:val="32"/>
          <w:szCs w:val="32"/>
        </w:rPr>
        <w:t>万隆新</w:t>
      </w:r>
      <w:r>
        <w:rPr>
          <w:rFonts w:ascii="Arial Narrow" w:hAnsi="Arial Narrow" w:cs="Arial Narrow"/>
          <w:b/>
          <w:sz w:val="32"/>
          <w:szCs w:val="32"/>
        </w:rPr>
        <w:t>材料有限公司</w:t>
      </w:r>
      <w:bookmarkEnd w:id="11"/>
      <w:bookmarkEnd w:id="12"/>
    </w:p>
    <w:p w14:paraId="6545B0F5">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ind w:firstLine="2249" w:firstLineChars="700"/>
        <w:jc w:val="left"/>
        <w:textAlignment w:val="auto"/>
        <w:outlineLvl w:val="9"/>
        <w:rPr>
          <w:rFonts w:ascii="Arial Narrow" w:hAnsi="Arial Narrow" w:cs="Arial Narrow"/>
          <w:b/>
          <w:snapToGrid w:val="0"/>
          <w:kern w:val="0"/>
          <w:sz w:val="32"/>
          <w:szCs w:val="32"/>
          <w:lang w:val="en-AU"/>
        </w:rPr>
      </w:pPr>
      <w:bookmarkStart w:id="13" w:name="_Toc4831"/>
      <w:bookmarkStart w:id="14" w:name="_Toc432"/>
      <w:r>
        <w:rPr>
          <w:rFonts w:hint="eastAsia" w:ascii="Arial Narrow" w:hAnsi="Arial Narrow" w:cs="Arial Narrow"/>
          <w:b/>
          <w:sz w:val="32"/>
          <w:szCs w:val="32"/>
        </w:rPr>
        <w:t>卖</w:t>
      </w:r>
      <w:r>
        <w:rPr>
          <w:rFonts w:ascii="Arial Narrow" w:hAnsi="Arial Narrow" w:cs="Arial Narrow"/>
          <w:b/>
          <w:sz w:val="32"/>
          <w:szCs w:val="32"/>
        </w:rPr>
        <w:t>方：</w:t>
      </w:r>
      <w:bookmarkEnd w:id="13"/>
      <w:bookmarkEnd w:id="14"/>
    </w:p>
    <w:p w14:paraId="3DA2A39C">
      <w:pPr>
        <w:pStyle w:val="2"/>
        <w:keepNext w:val="0"/>
        <w:keepLines w:val="0"/>
        <w:pageBreakBefore w:val="0"/>
        <w:tabs>
          <w:tab w:val="right" w:leader="dot" w:pos="9890"/>
        </w:tabs>
        <w:kinsoku w:val="0"/>
        <w:wordWrap/>
        <w:overflowPunct w:val="0"/>
        <w:topLinePunct w:val="0"/>
        <w:autoSpaceDE w:val="0"/>
        <w:autoSpaceDN w:val="0"/>
        <w:bidi w:val="0"/>
        <w:adjustRightInd w:val="0"/>
        <w:snapToGrid w:val="0"/>
        <w:spacing w:line="360" w:lineRule="auto"/>
        <w:ind w:firstLine="2249" w:firstLineChars="700"/>
        <w:jc w:val="left"/>
        <w:textAlignment w:val="auto"/>
        <w:outlineLvl w:val="9"/>
        <w:rPr>
          <w:rFonts w:ascii="Arial Narrow" w:hAnsi="Arial Narrow" w:cs="Arial Narrow"/>
          <w:b/>
          <w:sz w:val="32"/>
          <w:szCs w:val="32"/>
        </w:rPr>
      </w:pPr>
      <w:r>
        <w:rPr>
          <w:rFonts w:ascii="Arial Narrow" w:hAnsi="Arial Narrow" w:cs="Arial Narrow"/>
          <w:b/>
          <w:sz w:val="32"/>
          <w:szCs w:val="32"/>
        </w:rPr>
        <w:t>签署地点：宁夏●中宁</w:t>
      </w:r>
    </w:p>
    <w:sdt>
      <w:sdtPr>
        <w:rPr>
          <w:rFonts w:ascii="宋体" w:hAnsi="宋体" w:eastAsia="宋体" w:cstheme="minorBidi"/>
          <w:sz w:val="21"/>
          <w:szCs w:val="22"/>
        </w:rPr>
        <w:id w:val="147459179"/>
        <w15:color w:val="DBDBDB"/>
        <w:docPartObj>
          <w:docPartGallery w:val="Table of Contents"/>
          <w:docPartUnique/>
        </w:docPartObj>
      </w:sdtPr>
      <w:sdtEndPr>
        <w:rPr>
          <w:rFonts w:ascii="宋体" w:hAnsi="宋体" w:eastAsia="宋体" w:cstheme="minorBidi"/>
          <w:sz w:val="21"/>
          <w:szCs w:val="22"/>
        </w:rPr>
      </w:sdtEndPr>
      <w:sdtContent>
        <w:p w14:paraId="2273053A">
          <w:pPr>
            <w:spacing w:before="0" w:beforeLines="0" w:after="0" w:afterLines="0" w:line="240" w:lineRule="auto"/>
            <w:ind w:left="0" w:leftChars="0" w:right="0" w:rightChars="0" w:firstLine="0" w:firstLineChars="0"/>
            <w:jc w:val="center"/>
            <w:rPr>
              <w:rFonts w:ascii="宋体" w:hAnsi="宋体" w:eastAsia="宋体" w:cstheme="minorBidi"/>
              <w:sz w:val="21"/>
              <w:szCs w:val="22"/>
            </w:rPr>
          </w:pPr>
        </w:p>
        <w:p w14:paraId="52310D5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outlineLvl w:val="0"/>
            <w:rPr>
              <w:rFonts w:hint="eastAsia" w:ascii="仿宋" w:hAnsi="仿宋" w:eastAsia="仿宋" w:cs="仿宋"/>
              <w:sz w:val="32"/>
              <w:szCs w:val="32"/>
            </w:rPr>
          </w:pPr>
          <w:r>
            <w:rPr>
              <w:rFonts w:hint="eastAsia" w:ascii="仿宋" w:hAnsi="仿宋" w:eastAsia="仿宋" w:cs="仿宋"/>
              <w:b/>
              <w:bCs/>
              <w:sz w:val="44"/>
              <w:szCs w:val="44"/>
            </w:rPr>
            <w:t>目录</w:t>
          </w:r>
        </w:p>
        <w:p w14:paraId="7D8F39C8">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"1-1" \h \u </w:instrText>
          </w:r>
          <w:r>
            <w:rPr>
              <w:rFonts w:hint="eastAsia" w:ascii="仿宋" w:hAnsi="仿宋" w:eastAsia="仿宋" w:cs="仿宋"/>
              <w:sz w:val="32"/>
              <w:szCs w:val="32"/>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_Toc17384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w:t>
          </w:r>
          <w:r>
            <w:rPr>
              <w:rFonts w:hint="eastAsia" w:ascii="仿宋" w:hAnsi="仿宋" w:eastAsia="仿宋" w:cs="仿宋"/>
              <w:sz w:val="32"/>
              <w:szCs w:val="32"/>
            </w:rPr>
            <w:t>总则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_Toc17384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74D60C6">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_Toc16195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二、系统总体功能要求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_Toc16195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ABEE45C">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_Toc28972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三、执行标准与设备技术参数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_Toc28972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EA94271">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_Toc5683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四、设备清单及规格配置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_Toc5683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E739796">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_Toc17095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五、设计与安装施工要求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_Toc17095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1E99413">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_Toc17985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六、系统调试与竣工验收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_Toc17985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9D31A0E">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_Toc19365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七、技术培训服务</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_Toc19365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6151E4B">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_Toc18863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八、售后服务与质量保证</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_Toc18863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9535FB8">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_Toc11234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九、技术资料交付要求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_Toc11234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835636F">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_Toc7045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十、工期、供货及违约责任</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_Toc7045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46374F0">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_Toc18518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十一、备品备件与运维保障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_Toc18518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CEC9012">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_Toc21351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十二、知识产权、保密与项目变更</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_Toc21351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545C15A">
          <w:pPr>
            <w:pStyle w:val="2"/>
            <w:tabs>
              <w:tab w:val="right" w:leader="dot" w:pos="9093"/>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_Toc12183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十三、争议解决及其他约定</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_Toc12183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C59CF8C">
          <w:pPr>
            <w:spacing w:line="360" w:lineRule="auto"/>
            <w:sectPr>
              <w:headerReference r:id="rId3" w:type="default"/>
              <w:footerReference r:id="rId4" w:type="default"/>
              <w:pgSz w:w="11905" w:h="16840"/>
              <w:pgMar w:top="1327" w:right="1406" w:bottom="1327" w:left="1406" w:header="720" w:footer="720" w:gutter="0"/>
              <w:cols w:space="720" w:num="1"/>
            </w:sectPr>
          </w:pPr>
          <w:r>
            <w:rPr>
              <w:rFonts w:hint="eastAsia" w:ascii="仿宋" w:hAnsi="仿宋" w:eastAsia="仿宋" w:cs="仿宋"/>
              <w:sz w:val="32"/>
              <w:szCs w:val="32"/>
            </w:rPr>
            <w:fldChar w:fldCharType="end"/>
          </w:r>
        </w:p>
      </w:sdtContent>
    </w:sdt>
    <w:p w14:paraId="12835947">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outlineLvl w:val="0"/>
        <w:rPr>
          <w:rFonts w:hint="eastAsia" w:ascii="仿宋" w:hAnsi="仿宋" w:eastAsia="仿宋" w:cs="仿宋"/>
          <w:sz w:val="36"/>
          <w:szCs w:val="36"/>
        </w:rPr>
      </w:pPr>
      <w:bookmarkStart w:id="15" w:name="_Toc17384"/>
      <w:r>
        <w:rPr>
          <w:rFonts w:hint="eastAsia" w:ascii="仿宋" w:hAnsi="仿宋" w:eastAsia="仿宋" w:cs="仿宋"/>
          <w:b/>
          <w:sz w:val="36"/>
          <w:szCs w:val="36"/>
          <w:lang w:val="en-US" w:eastAsia="zh-CN"/>
        </w:rPr>
        <w:t>一、</w:t>
      </w:r>
      <w:r>
        <w:rPr>
          <w:rFonts w:hint="eastAsia" w:ascii="仿宋" w:hAnsi="仿宋" w:eastAsia="仿宋" w:cs="仿宋"/>
          <w:b/>
          <w:sz w:val="36"/>
          <w:szCs w:val="36"/>
        </w:rPr>
        <w:t>总则</w:t>
      </w:r>
      <w:bookmarkEnd w:id="2"/>
      <w:bookmarkEnd w:id="15"/>
    </w:p>
    <w:p w14:paraId="6DF568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本技术协议适用于宁夏万隆新材料有限公司锰锭熔炼新建项目网络监控、网络通讯、公共广播、LED彩屏、综合布线、后备供电、防雷接地整套系统的设计、供货、运输、安装、调试、验收、培训及全周期售后服务。</w:t>
      </w:r>
    </w:p>
    <w:p w14:paraId="68F537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乙方对本项目所有设备、系统集成、施工工艺、运行稳定性承担全部责任，系统各项性能、功能、环境适应性必须满足厂区高温、粉尘、防爆、室外露天等现场工况要求。</w:t>
      </w:r>
    </w:p>
    <w:p w14:paraId="617C91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本项目新建系统须与厂区一期现有网络监控、网络通讯系统完全兼容，后台管理终端、通信协议、网络架构实现无缝对接、互联互通。</w:t>
      </w:r>
    </w:p>
    <w:p w14:paraId="0AB1CE3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本技术协议为甲乙双方项目实施、设备验收、售后履约的唯一技术依据，与商务合同具有同等法律效力。</w:t>
      </w:r>
    </w:p>
    <w:p w14:paraId="72DD5A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本项目防爆区域设备、施工、验收严格执行爆炸性环境相关国标，杜绝安全隐患。</w:t>
      </w:r>
    </w:p>
    <w:p w14:paraId="5C33F1BA">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16" w:name="heading_4"/>
      <w:bookmarkStart w:id="17" w:name="_Toc16195"/>
      <w:r>
        <w:rPr>
          <w:rFonts w:hint="eastAsia" w:ascii="仿宋" w:hAnsi="仿宋" w:eastAsia="仿宋" w:cs="仿宋"/>
          <w:b/>
          <w:sz w:val="36"/>
          <w:szCs w:val="36"/>
          <w:lang w:val="en-US" w:eastAsia="zh-CN"/>
        </w:rPr>
        <w:t>二、系统总体功能要求</w:t>
      </w:r>
      <w:bookmarkEnd w:id="16"/>
      <w:bookmarkEnd w:id="17"/>
    </w:p>
    <w:p w14:paraId="24AFFE4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18" w:name="heading_5"/>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）网络监控系统</w:t>
      </w:r>
      <w:bookmarkEnd w:id="18"/>
    </w:p>
    <w:p w14:paraId="67483A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1.系统采用TCP/IP标准网络架构，覆盖厂区内外、生产车间、配电室、围墙、仓库、主干道、出入口等全部关键区域，实现全方位无死角监控。</w:t>
      </w:r>
    </w:p>
    <w:p w14:paraId="77816E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2.具备高清视频采集、实时传输、集中存储、智能分析、报警联动、多终端远程访问功能，支持后期点位扩容与功能升级。</w:t>
      </w:r>
    </w:p>
    <w:p w14:paraId="10B3916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3.视频录像连续存储时长不低于90天，存储设备配置硬盘冗余备份，保障视频数据完整、不丢</w:t>
      </w:r>
      <w:r>
        <w:rPr>
          <w:rFonts w:hint="eastAsia" w:ascii="仿宋" w:hAnsi="仿宋" w:eastAsia="仿宋" w:cs="仿宋"/>
          <w:sz w:val="32"/>
          <w:szCs w:val="32"/>
        </w:rPr>
        <w:t>失。</w:t>
      </w:r>
    </w:p>
    <w:p w14:paraId="4ACA8F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支持电脑客户端、手机APP远程预览、视频回放、画面截图、报警信息推送。</w:t>
      </w:r>
    </w:p>
    <w:p w14:paraId="4BBCC0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设备集成智能识别、本地语音警示、双向语音对讲、系统联动功能，违规行为可自动预警、远程喊话，并联动广播系统同步提醒。</w:t>
      </w:r>
    </w:p>
    <w:p w14:paraId="332E8B1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19" w:name="heading_6"/>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）公共广播系统</w:t>
      </w:r>
      <w:bookmarkEnd w:id="19"/>
    </w:p>
    <w:p w14:paraId="56CB02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系统覆盖生产车间、办公区域，支持日常播报、背景音乐、分区广播、全体广播、定时自动广播。</w:t>
      </w:r>
    </w:p>
    <w:p w14:paraId="162A7C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广播音质清晰无杂音、无失真，声场覆盖均匀，关键区域声压级不低于75dB。</w:t>
      </w:r>
    </w:p>
    <w:p w14:paraId="04AB84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应急广播拥有最高优先级，可强制切断当前播放内容；系统与厂区消防系统联动，火警触发后自动切换为应急疏散广播。</w:t>
      </w:r>
    </w:p>
    <w:p w14:paraId="2CD30CE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20" w:name="heading_7"/>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lang w:eastAsia="zh-CN"/>
        </w:rPr>
        <w:t>）LED彩屏系统</w:t>
      </w:r>
      <w:bookmarkEnd w:id="20"/>
    </w:p>
    <w:p w14:paraId="7E1C91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屏体净尺寸：</w:t>
      </w:r>
      <w:r>
        <w:rPr>
          <w:rFonts w:hint="eastAsia" w:ascii="仿宋" w:hAnsi="仿宋" w:eastAsia="仿宋" w:cs="仿宋"/>
          <w:sz w:val="32"/>
          <w:szCs w:val="32"/>
          <w:lang w:val="en-US" w:eastAsia="zh-CN"/>
        </w:rPr>
        <w:t>4</w:t>
      </w:r>
      <w:r>
        <w:rPr>
          <w:rFonts w:hint="eastAsia" w:ascii="仿宋" w:hAnsi="仿宋" w:eastAsia="仿宋" w:cs="仿宋"/>
          <w:sz w:val="32"/>
          <w:szCs w:val="32"/>
        </w:rPr>
        <w:t>m（宽）×</w:t>
      </w:r>
      <w:r>
        <w:rPr>
          <w:rFonts w:hint="eastAsia" w:ascii="仿宋" w:hAnsi="仿宋" w:eastAsia="仿宋" w:cs="仿宋"/>
          <w:sz w:val="32"/>
          <w:szCs w:val="32"/>
          <w:lang w:val="en-US" w:eastAsia="zh-CN"/>
        </w:rPr>
        <w:t>6</w:t>
      </w:r>
      <w:r>
        <w:rPr>
          <w:rFonts w:hint="eastAsia" w:ascii="仿宋" w:hAnsi="仿宋" w:eastAsia="仿宋" w:cs="仿宋"/>
          <w:sz w:val="32"/>
          <w:szCs w:val="32"/>
        </w:rPr>
        <w:t>m（长）（含整套框架），支持7×24小时连续运行，适配工业厂区使用环境。</w:t>
      </w:r>
    </w:p>
    <w:p w14:paraId="42269D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画面稳定，无频闪、拖影、亮线、暗线，像素死点率符合约定标准，满足厂区信息发布需求。</w:t>
      </w:r>
    </w:p>
    <w:p w14:paraId="4580B5D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21" w:name="heading_8"/>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四</w:t>
      </w:r>
      <w:r>
        <w:rPr>
          <w:rFonts w:hint="eastAsia" w:ascii="仿宋" w:hAnsi="仿宋" w:eastAsia="仿宋" w:cs="仿宋"/>
          <w:b/>
          <w:bCs/>
          <w:sz w:val="32"/>
          <w:szCs w:val="32"/>
          <w:lang w:eastAsia="zh-CN"/>
        </w:rPr>
        <w:t>）综合管理平台</w:t>
      </w:r>
      <w:bookmarkEnd w:id="21"/>
    </w:p>
    <w:p w14:paraId="59589F57">
      <w:pPr>
        <w:keepNext w:val="0"/>
        <w:keepLines w:val="0"/>
        <w:pageBreakBefore w:val="0"/>
        <w:widowControl w:val="0"/>
        <w:kinsoku/>
        <w:wordWrap/>
        <w:overflowPunct/>
        <w:topLinePunct w:val="0"/>
        <w:autoSpaceDE/>
        <w:autoSpaceDN/>
        <w:bidi w:val="0"/>
        <w:adjustRightInd/>
        <w:snapToGrid/>
        <w:spacing w:before="120" w:after="120" w:line="560" w:lineRule="exact"/>
        <w:ind w:left="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搭建一体化综合管理平台，统一管控监控、广播、LED屏、报警信号，支持账户权限分级、操作日志留存，兼容厂区现有一期系统。</w:t>
      </w:r>
    </w:p>
    <w:p w14:paraId="2EFC1D5F">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22" w:name="heading_9"/>
      <w:bookmarkStart w:id="23" w:name="_Toc28972"/>
      <w:r>
        <w:rPr>
          <w:rFonts w:hint="eastAsia" w:ascii="仿宋" w:hAnsi="仿宋" w:eastAsia="仿宋" w:cs="仿宋"/>
          <w:b/>
          <w:sz w:val="36"/>
          <w:szCs w:val="36"/>
          <w:lang w:val="en-US" w:eastAsia="zh-CN"/>
        </w:rPr>
        <w:t>三、执行标准与设备技术参数</w:t>
      </w:r>
      <w:bookmarkEnd w:id="22"/>
      <w:bookmarkEnd w:id="23"/>
    </w:p>
    <w:p w14:paraId="39D0985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24" w:name="heading_10"/>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）项目整体执行标准</w:t>
      </w:r>
      <w:bookmarkEnd w:id="24"/>
    </w:p>
    <w:p w14:paraId="292F0C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本项目设备制造、管线敷设、安装施工、调试验收、防雷防爆，严格遵照以下标准执行：</w:t>
      </w:r>
    </w:p>
    <w:p w14:paraId="53B52D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GB50348-2018《安全防范工程技术标准》</w:t>
      </w:r>
    </w:p>
    <w:p w14:paraId="33F4A2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GB35114-2017《公共安全视频监控联网信息安全技术要求》</w:t>
      </w:r>
    </w:p>
    <w:p w14:paraId="4D8BEA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GB50303-2015《建筑电气工程施工质量验收规范》</w:t>
      </w:r>
    </w:p>
    <w:p w14:paraId="6B9035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GB50526-2010《公共广播系统工程技术规范》</w:t>
      </w:r>
    </w:p>
    <w:p w14:paraId="2DF3C0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GB50311-2016《综合布线系统工程设计规范》</w:t>
      </w:r>
    </w:p>
    <w:p w14:paraId="66F235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GB50057-2010《建筑物防雷设计规范》</w:t>
      </w:r>
    </w:p>
    <w:p w14:paraId="5F41DB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GB3836系列《爆炸性环境》（防爆区域专用）</w:t>
      </w:r>
    </w:p>
    <w:p w14:paraId="039E2E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GB/T28181-2016《公共安全视频监控联网系统信息传输、交换、控制技术要求》</w:t>
      </w:r>
    </w:p>
    <w:p w14:paraId="2120B7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GB/T15412-2018《应用电视摄像机通用技术要求及测量方法》</w:t>
      </w:r>
    </w:p>
    <w:p w14:paraId="5A5DE9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GB/T34982-2017《安全防范监控数字视音频编解码技术要求》</w:t>
      </w:r>
    </w:p>
    <w:p w14:paraId="0D986E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GB/T7260-2008《不间断电源设备（UPS）》</w:t>
      </w:r>
    </w:p>
    <w:p w14:paraId="4DD963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GB/T15211-2013《安全防范报警设备环境适应性要求和试验方法》</w:t>
      </w:r>
    </w:p>
    <w:p w14:paraId="3BC019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GA/T75-2018《安全防范工程程序与要求》</w:t>
      </w:r>
    </w:p>
    <w:p w14:paraId="44B79E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GB/T28438-2012《数字公共广播系统技术规范》</w:t>
      </w:r>
    </w:p>
    <w:p w14:paraId="35D9FD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GB9254-2008《信息技术设备的无线电骚扰限值和测量方法》</w:t>
      </w:r>
    </w:p>
    <w:p w14:paraId="44D2C6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GB/T17626系列《电磁兼容试验和测量技术》</w:t>
      </w:r>
    </w:p>
    <w:p w14:paraId="59D23F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GB/T21431-2015《建筑物防雷装置检测技术规范》</w:t>
      </w:r>
    </w:p>
    <w:p w14:paraId="332EC4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GB/T22239-2019《信息安全技术网络安全等级保护基本要求》</w:t>
      </w:r>
    </w:p>
    <w:p w14:paraId="446AE9A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25" w:name="heading_13"/>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）网络监控系统设备参数</w:t>
      </w:r>
      <w:bookmarkEnd w:id="25"/>
    </w:p>
    <w:p w14:paraId="4EF076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26" w:name="heading_14"/>
      <w:r>
        <w:rPr>
          <w:rFonts w:hint="eastAsia" w:ascii="仿宋" w:hAnsi="仿宋" w:eastAsia="仿宋" w:cs="仿宋"/>
          <w:sz w:val="32"/>
          <w:szCs w:val="32"/>
          <w:lang w:val="en-US" w:eastAsia="zh-CN"/>
        </w:rPr>
        <w:t>1.</w:t>
      </w:r>
      <w:r>
        <w:rPr>
          <w:rFonts w:hint="eastAsia" w:ascii="仿宋" w:hAnsi="仿宋" w:eastAsia="仿宋" w:cs="仿宋"/>
          <w:sz w:val="32"/>
          <w:szCs w:val="32"/>
        </w:rPr>
        <w:t>普通高清网络枪机</w:t>
      </w:r>
      <w:bookmarkEnd w:id="26"/>
    </w:p>
    <w:p w14:paraId="558D1C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参考型号：DH-IPC-HFW2449M-A-LED</w:t>
      </w:r>
    </w:p>
    <w:p w14:paraId="5548CA7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像素：400万像素，搭载1/1.8英寸超星光CMOS图像传感器</w:t>
      </w:r>
    </w:p>
    <w:p w14:paraId="3B7428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镜头：6mm定焦，内置暖光补光灯，有效监控距离≥40m</w:t>
      </w:r>
    </w:p>
    <w:p w14:paraId="7B9D66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1.4</w:t>
      </w:r>
      <w:r>
        <w:rPr>
          <w:rFonts w:hint="eastAsia" w:ascii="仿宋" w:hAnsi="仿宋" w:eastAsia="仿宋" w:cs="仿宋"/>
          <w:sz w:val="32"/>
          <w:szCs w:val="32"/>
        </w:rPr>
        <w:t>编码：支持H.265/H.264编码，超低码率传输</w:t>
      </w:r>
    </w:p>
    <w:p w14:paraId="46B3D9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1.5</w:t>
      </w:r>
      <w:r>
        <w:rPr>
          <w:rFonts w:hint="eastAsia" w:ascii="仿宋" w:hAnsi="仿宋" w:eastAsia="仿宋" w:cs="仿宋"/>
          <w:sz w:val="32"/>
          <w:szCs w:val="32"/>
        </w:rPr>
        <w:t>功能：内置拾音与扬声器，支持人形检测、绊线入侵、区域入侵等周界防范</w:t>
      </w:r>
    </w:p>
    <w:p w14:paraId="577D43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1.6</w:t>
      </w:r>
      <w:r>
        <w:rPr>
          <w:rFonts w:hint="eastAsia" w:ascii="仿宋" w:hAnsi="仿宋" w:eastAsia="仿宋" w:cs="仿宋"/>
          <w:sz w:val="32"/>
          <w:szCs w:val="32"/>
        </w:rPr>
        <w:t>协议：兼容ONVIF、GB/T28181，可与原有NVR无缝对接</w:t>
      </w:r>
    </w:p>
    <w:p w14:paraId="0472E3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1.7</w:t>
      </w:r>
      <w:r>
        <w:rPr>
          <w:rFonts w:hint="eastAsia" w:ascii="仿宋" w:hAnsi="仿宋" w:eastAsia="仿宋" w:cs="仿宋"/>
          <w:sz w:val="32"/>
          <w:szCs w:val="32"/>
        </w:rPr>
        <w:t>防护等级：IP66，支持24小时全天候运行</w:t>
      </w:r>
    </w:p>
    <w:p w14:paraId="453D4D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27" w:name="heading_15"/>
      <w:r>
        <w:rPr>
          <w:rFonts w:hint="eastAsia" w:ascii="仿宋" w:hAnsi="仿宋" w:eastAsia="仿宋" w:cs="仿宋"/>
          <w:sz w:val="32"/>
          <w:szCs w:val="32"/>
          <w:lang w:val="en-US" w:eastAsia="zh-CN"/>
        </w:rPr>
        <w:t>2.</w:t>
      </w:r>
      <w:r>
        <w:rPr>
          <w:rFonts w:hint="eastAsia" w:ascii="仿宋" w:hAnsi="仿宋" w:eastAsia="仿宋" w:cs="仿宋"/>
          <w:sz w:val="32"/>
          <w:szCs w:val="32"/>
        </w:rPr>
        <w:t>普通防爆枪机</w:t>
      </w:r>
      <w:bookmarkEnd w:id="27"/>
    </w:p>
    <w:p w14:paraId="710F13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2.1</w:t>
      </w:r>
      <w:r>
        <w:rPr>
          <w:rFonts w:hint="eastAsia" w:ascii="仿宋" w:hAnsi="仿宋" w:eastAsia="仿宋" w:cs="仿宋"/>
          <w:sz w:val="32"/>
          <w:szCs w:val="32"/>
        </w:rPr>
        <w:t>参考型号：DH-IPC-HFW2439M-AS-LED(6mm)</w:t>
      </w:r>
    </w:p>
    <w:p w14:paraId="188F16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2.2</w:t>
      </w:r>
      <w:r>
        <w:rPr>
          <w:rFonts w:hint="eastAsia" w:ascii="仿宋" w:hAnsi="仿宋" w:eastAsia="仿宋" w:cs="仿宋"/>
          <w:sz w:val="32"/>
          <w:szCs w:val="32"/>
        </w:rPr>
        <w:t>像素：400万像素，6mm定焦镜头，内置音频模块</w:t>
      </w:r>
    </w:p>
    <w:p w14:paraId="1638AF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2.3</w:t>
      </w:r>
      <w:r>
        <w:rPr>
          <w:rFonts w:hint="eastAsia" w:ascii="仿宋" w:hAnsi="仿宋" w:eastAsia="仿宋" w:cs="仿宋"/>
          <w:sz w:val="32"/>
          <w:szCs w:val="32"/>
        </w:rPr>
        <w:t>夜视：暖光全彩夜视，支持人形、车辆智能检测</w:t>
      </w:r>
    </w:p>
    <w:p w14:paraId="550B02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2.4</w:t>
      </w:r>
      <w:r>
        <w:rPr>
          <w:rFonts w:hint="eastAsia" w:ascii="仿宋" w:hAnsi="仿宋" w:eastAsia="仿宋" w:cs="仿宋"/>
          <w:sz w:val="32"/>
          <w:szCs w:val="32"/>
        </w:rPr>
        <w:t>编码：H.265高效编码，画质清晰，智能分析功能完善</w:t>
      </w:r>
    </w:p>
    <w:p w14:paraId="537136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2.5</w:t>
      </w:r>
      <w:r>
        <w:rPr>
          <w:rFonts w:hint="eastAsia" w:ascii="仿宋" w:hAnsi="仿宋" w:eastAsia="仿宋" w:cs="仿宋"/>
          <w:sz w:val="32"/>
          <w:szCs w:val="32"/>
        </w:rPr>
        <w:t>防护：防爆结构，防护等级IP66，适配厂区危险区域</w:t>
      </w:r>
    </w:p>
    <w:p w14:paraId="4A4214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28" w:name="heading_16"/>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高温防爆枪机</w:t>
      </w:r>
      <w:bookmarkEnd w:id="28"/>
    </w:p>
    <w:p w14:paraId="7D8236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3.1</w:t>
      </w:r>
      <w:r>
        <w:rPr>
          <w:rFonts w:hint="eastAsia" w:ascii="仿宋" w:hAnsi="仿宋" w:eastAsia="仿宋" w:cs="仿宋"/>
          <w:sz w:val="32"/>
          <w:szCs w:val="32"/>
        </w:rPr>
        <w:t>参考型号：DH-IPC-HFE-7443M-ZAS</w:t>
      </w:r>
    </w:p>
    <w:p w14:paraId="176D1E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3.2</w:t>
      </w:r>
      <w:r>
        <w:rPr>
          <w:rFonts w:hint="eastAsia" w:ascii="仿宋" w:hAnsi="仿宋" w:eastAsia="仿宋" w:cs="仿宋"/>
          <w:sz w:val="32"/>
          <w:szCs w:val="32"/>
        </w:rPr>
        <w:t>像素：400万像素，最大分辨率2688×1520@25fps</w:t>
      </w:r>
    </w:p>
    <w:p w14:paraId="0F538D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3.3</w:t>
      </w:r>
      <w:r>
        <w:rPr>
          <w:rFonts w:hint="eastAsia" w:ascii="仿宋" w:hAnsi="仿宋" w:eastAsia="仿宋" w:cs="仿宋"/>
          <w:sz w:val="32"/>
          <w:szCs w:val="32"/>
        </w:rPr>
        <w:t>镜头：可变焦，内置红外补光灯，红外夜视距离≥50m</w:t>
      </w:r>
    </w:p>
    <w:p w14:paraId="32A22A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3.4</w:t>
      </w:r>
      <w:r>
        <w:rPr>
          <w:rFonts w:hint="eastAsia" w:ascii="仿宋" w:hAnsi="仿宋" w:eastAsia="仿宋" w:cs="仿宋"/>
          <w:sz w:val="32"/>
          <w:szCs w:val="32"/>
        </w:rPr>
        <w:t>功能：支持走廊模式、宽动态、3D数字降噪、ROI区域增强</w:t>
      </w:r>
    </w:p>
    <w:p w14:paraId="3656F1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3.5</w:t>
      </w:r>
      <w:r>
        <w:rPr>
          <w:rFonts w:hint="eastAsia" w:ascii="仿宋" w:hAnsi="仿宋" w:eastAsia="仿宋" w:cs="仿宋"/>
          <w:sz w:val="32"/>
          <w:szCs w:val="32"/>
        </w:rPr>
        <w:t>编码：支持H.264/H.265，超低码流传输</w:t>
      </w:r>
    </w:p>
    <w:p w14:paraId="7C853E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3.6</w:t>
      </w:r>
      <w:r>
        <w:rPr>
          <w:rFonts w:hint="eastAsia" w:ascii="仿宋" w:hAnsi="仿宋" w:eastAsia="仿宋" w:cs="仿宋"/>
          <w:sz w:val="32"/>
          <w:szCs w:val="32"/>
        </w:rPr>
        <w:t>环境：耐高温、防爆结构，适配熔炼车间高温工况</w:t>
      </w:r>
    </w:p>
    <w:p w14:paraId="4EB1CD0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29" w:name="heading_17"/>
      <w:r>
        <w:rPr>
          <w:rFonts w:hint="eastAsia" w:ascii="仿宋" w:hAnsi="仿宋" w:eastAsia="仿宋" w:cs="仿宋"/>
          <w:sz w:val="32"/>
          <w:szCs w:val="32"/>
          <w:lang w:val="en-US" w:eastAsia="zh-CN"/>
        </w:rPr>
        <w:t>4.</w:t>
      </w:r>
      <w:r>
        <w:rPr>
          <w:rFonts w:hint="eastAsia" w:ascii="仿宋" w:hAnsi="仿宋" w:eastAsia="仿宋" w:cs="仿宋"/>
          <w:sz w:val="32"/>
          <w:szCs w:val="32"/>
        </w:rPr>
        <w:t>360°全景球机</w:t>
      </w:r>
      <w:bookmarkEnd w:id="29"/>
    </w:p>
    <w:p w14:paraId="1C34E1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4.1</w:t>
      </w:r>
      <w:r>
        <w:rPr>
          <w:rFonts w:hint="eastAsia" w:ascii="仿宋" w:hAnsi="仿宋" w:eastAsia="仿宋" w:cs="仿宋"/>
          <w:sz w:val="32"/>
          <w:szCs w:val="32"/>
        </w:rPr>
        <w:t>参考型号：DH-IPCMFW8849XS-ZHL-8E2</w:t>
      </w:r>
    </w:p>
    <w:p w14:paraId="7A4B68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4.2</w:t>
      </w:r>
      <w:r>
        <w:rPr>
          <w:rFonts w:hint="eastAsia" w:ascii="仿宋" w:hAnsi="仿宋" w:eastAsia="仿宋" w:cs="仿宋"/>
          <w:sz w:val="32"/>
          <w:szCs w:val="32"/>
        </w:rPr>
        <w:t>像素：800万像素，全景+细节双镜头设计</w:t>
      </w:r>
    </w:p>
    <w:p w14:paraId="23CAE0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夜视：12颗混合补光灯，红外+全彩双模式，夜视距离≥50m</w:t>
      </w:r>
    </w:p>
    <w:p w14:paraId="43C169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4.4</w:t>
      </w:r>
      <w:r>
        <w:rPr>
          <w:rFonts w:hint="eastAsia" w:ascii="仿宋" w:hAnsi="仿宋" w:eastAsia="仿宋" w:cs="仿宋"/>
          <w:sz w:val="32"/>
          <w:szCs w:val="32"/>
        </w:rPr>
        <w:t>功能：人形/车辆检测、目标追踪、双向语音对讲，内置麦克风与扬声器</w:t>
      </w:r>
    </w:p>
    <w:p w14:paraId="5338BC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4.5</w:t>
      </w:r>
      <w:r>
        <w:rPr>
          <w:rFonts w:hint="eastAsia" w:ascii="仿宋" w:hAnsi="仿宋" w:eastAsia="仿宋" w:cs="仿宋"/>
          <w:sz w:val="32"/>
          <w:szCs w:val="32"/>
        </w:rPr>
        <w:t>供电：支持POE供电，防护等级IP67</w:t>
      </w:r>
    </w:p>
    <w:p w14:paraId="19ADE5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0" w:name="heading_18"/>
      <w:r>
        <w:rPr>
          <w:rFonts w:hint="eastAsia" w:ascii="仿宋" w:hAnsi="仿宋" w:eastAsia="仿宋" w:cs="仿宋"/>
          <w:sz w:val="32"/>
          <w:szCs w:val="32"/>
          <w:lang w:val="en-US" w:eastAsia="zh-CN"/>
        </w:rPr>
        <w:t>5.</w:t>
      </w:r>
      <w:r>
        <w:rPr>
          <w:rFonts w:hint="eastAsia" w:ascii="仿宋" w:hAnsi="仿宋" w:eastAsia="仿宋" w:cs="仿宋"/>
          <w:sz w:val="32"/>
          <w:szCs w:val="32"/>
        </w:rPr>
        <w:t>摄像机通用智能功能</w:t>
      </w:r>
      <w:bookmarkEnd w:id="30"/>
    </w:p>
    <w:p w14:paraId="37C37A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5.1</w:t>
      </w:r>
      <w:r>
        <w:rPr>
          <w:rFonts w:hint="eastAsia" w:ascii="仿宋" w:hAnsi="仿宋" w:eastAsia="仿宋" w:cs="仿宋"/>
          <w:sz w:val="32"/>
          <w:szCs w:val="32"/>
        </w:rPr>
        <w:t>必选功能：</w:t>
      </w:r>
      <w:r>
        <w:rPr>
          <w:rFonts w:hint="eastAsia" w:ascii="仿宋" w:hAnsi="仿宋" w:eastAsia="仿宋" w:cs="仿宋"/>
          <w:sz w:val="32"/>
          <w:szCs w:val="32"/>
          <w:lang w:val="en-US" w:eastAsia="zh-CN"/>
        </w:rPr>
        <w:t>三违抓拍、</w:t>
      </w:r>
      <w:r>
        <w:rPr>
          <w:rFonts w:hint="eastAsia" w:ascii="仿宋" w:hAnsi="仿宋" w:eastAsia="仿宋" w:cs="仿宋"/>
          <w:sz w:val="32"/>
          <w:szCs w:val="32"/>
        </w:rPr>
        <w:t>人形识别、越界侦测、区域入侵、围墙攀爬侦测、区域逗留侦测（10s~10min时长可调）、移动侦测；</w:t>
      </w:r>
    </w:p>
    <w:p w14:paraId="26BC18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5.2</w:t>
      </w:r>
      <w:r>
        <w:rPr>
          <w:rFonts w:hint="eastAsia" w:ascii="仿宋" w:hAnsi="仿宋" w:eastAsia="仿宋" w:cs="仿宋"/>
          <w:sz w:val="32"/>
          <w:szCs w:val="32"/>
        </w:rPr>
        <w:t>可选功能：烟火侦测、安全帽及反光衣识别；</w:t>
      </w:r>
    </w:p>
    <w:p w14:paraId="6C5CF9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5.3</w:t>
      </w:r>
      <w:r>
        <w:rPr>
          <w:rFonts w:hint="eastAsia" w:ascii="仿宋" w:hAnsi="仿宋" w:eastAsia="仿宋" w:cs="仿宋"/>
          <w:sz w:val="32"/>
          <w:szCs w:val="32"/>
        </w:rPr>
        <w:t>识别精度：整体智能分析误报率≤5%；</w:t>
      </w:r>
    </w:p>
    <w:p w14:paraId="00BF7F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5.4</w:t>
      </w:r>
      <w:r>
        <w:rPr>
          <w:rFonts w:hint="eastAsia" w:ascii="仿宋" w:hAnsi="仿宋" w:eastAsia="仿宋" w:cs="仿宋"/>
          <w:sz w:val="32"/>
          <w:szCs w:val="32"/>
        </w:rPr>
        <w:t>本地语音：支持自定义语音播报，音量0~100dB可调，违规自动触发警示；</w:t>
      </w:r>
    </w:p>
    <w:p w14:paraId="6716B8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5.5</w:t>
      </w:r>
      <w:r>
        <w:rPr>
          <w:rFonts w:hint="eastAsia" w:ascii="仿宋" w:hAnsi="仿宋" w:eastAsia="仿宋" w:cs="仿宋"/>
          <w:sz w:val="32"/>
          <w:szCs w:val="32"/>
        </w:rPr>
        <w:t>双向对讲：拾音距离≥10m，降噪处理、无延迟，后台及移动端可远程喊话；</w:t>
      </w:r>
    </w:p>
    <w:p w14:paraId="0A393E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5.6</w:t>
      </w:r>
      <w:r>
        <w:rPr>
          <w:rFonts w:hint="eastAsia" w:ascii="仿宋" w:hAnsi="仿宋" w:eastAsia="仿宋" w:cs="仿宋"/>
          <w:sz w:val="32"/>
          <w:szCs w:val="32"/>
        </w:rPr>
        <w:t>联动功能：报警信号可联动NVR、厂区广播系统，实现双重预警。</w:t>
      </w:r>
    </w:p>
    <w:p w14:paraId="125C76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1" w:name="heading_19"/>
      <w:r>
        <w:rPr>
          <w:rFonts w:hint="eastAsia" w:ascii="仿宋" w:hAnsi="仿宋" w:eastAsia="仿宋" w:cs="仿宋"/>
          <w:sz w:val="32"/>
          <w:szCs w:val="32"/>
          <w:lang w:val="en-US" w:eastAsia="zh-CN"/>
        </w:rPr>
        <w:t>6.</w:t>
      </w:r>
      <w:r>
        <w:rPr>
          <w:rFonts w:hint="eastAsia" w:ascii="仿宋" w:hAnsi="仿宋" w:eastAsia="仿宋" w:cs="仿宋"/>
          <w:sz w:val="32"/>
          <w:szCs w:val="32"/>
        </w:rPr>
        <w:t>网络硬盘录像机（NVR）</w:t>
      </w:r>
      <w:bookmarkEnd w:id="31"/>
    </w:p>
    <w:p w14:paraId="383C00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6.1</w:t>
      </w:r>
      <w:r>
        <w:rPr>
          <w:rFonts w:hint="eastAsia" w:ascii="仿宋" w:hAnsi="仿宋" w:eastAsia="仿宋" w:cs="仿宋"/>
          <w:sz w:val="32"/>
          <w:szCs w:val="32"/>
        </w:rPr>
        <w:t>参考型号：DH-NVR5832-4KS2</w:t>
      </w:r>
    </w:p>
    <w:p w14:paraId="4CBC35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6.2</w:t>
      </w:r>
      <w:r>
        <w:rPr>
          <w:rFonts w:hint="eastAsia" w:ascii="仿宋" w:hAnsi="仿宋" w:eastAsia="仿宋" w:cs="仿宋"/>
          <w:sz w:val="32"/>
          <w:szCs w:val="32"/>
        </w:rPr>
        <w:t>接入路数：32路高清视频接入</w:t>
      </w:r>
    </w:p>
    <w:p w14:paraId="01406A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6.3</w:t>
      </w:r>
      <w:r>
        <w:rPr>
          <w:rFonts w:hint="eastAsia" w:ascii="仿宋" w:hAnsi="仿宋" w:eastAsia="仿宋" w:cs="仿宋"/>
          <w:sz w:val="32"/>
          <w:szCs w:val="32"/>
        </w:rPr>
        <w:t>解码能力：支持4K/1080P视频解码，多画面分割、轮巡切换</w:t>
      </w:r>
    </w:p>
    <w:p w14:paraId="4E96B8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6.4</w:t>
      </w:r>
      <w:r>
        <w:rPr>
          <w:rFonts w:hint="eastAsia" w:ascii="仿宋" w:hAnsi="仿宋" w:eastAsia="仿宋" w:cs="仿宋"/>
          <w:sz w:val="32"/>
          <w:szCs w:val="32"/>
        </w:rPr>
        <w:t>存储：SATA硬盘接口，单盘最大支持20TB，配置硬盘满足90天存储要求</w:t>
      </w:r>
    </w:p>
    <w:p w14:paraId="6AF68E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6.5</w:t>
      </w:r>
      <w:r>
        <w:rPr>
          <w:rFonts w:hint="eastAsia" w:ascii="仿宋" w:hAnsi="仿宋" w:eastAsia="仿宋" w:cs="仿宋"/>
          <w:sz w:val="32"/>
          <w:szCs w:val="32"/>
        </w:rPr>
        <w:t>功能：智能报警联动、自动抓拍、事件独立录像存储、多路报警输入/输出</w:t>
      </w:r>
    </w:p>
    <w:p w14:paraId="4A965F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6.6</w:t>
      </w:r>
      <w:r>
        <w:rPr>
          <w:rFonts w:hint="eastAsia" w:ascii="仿宋" w:hAnsi="仿宋" w:eastAsia="仿宋" w:cs="仿宋"/>
          <w:sz w:val="32"/>
          <w:szCs w:val="32"/>
        </w:rPr>
        <w:t>网络：支持TCP/IP、HTTP、RTSP等协议，支持远程访问、回放、视频下载</w:t>
      </w:r>
    </w:p>
    <w:p w14:paraId="520238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6.7</w:t>
      </w:r>
      <w:r>
        <w:rPr>
          <w:rFonts w:hint="eastAsia" w:ascii="仿宋" w:hAnsi="仿宋" w:eastAsia="仿宋" w:cs="仿宋"/>
          <w:sz w:val="32"/>
          <w:szCs w:val="32"/>
        </w:rPr>
        <w:t>网络隔离：与广播系统采用VLAN划分，报警信号独立传输，互不干扰</w:t>
      </w:r>
    </w:p>
    <w:p w14:paraId="69CE8C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2" w:name="heading_20"/>
      <w:r>
        <w:rPr>
          <w:rFonts w:hint="eastAsia" w:ascii="仿宋" w:hAnsi="仿宋" w:eastAsia="仿宋" w:cs="仿宋"/>
          <w:sz w:val="32"/>
          <w:szCs w:val="32"/>
          <w:lang w:val="en-US" w:eastAsia="zh-CN"/>
        </w:rPr>
        <w:t>7.</w:t>
      </w:r>
      <w:r>
        <w:rPr>
          <w:rFonts w:hint="eastAsia" w:ascii="仿宋" w:hAnsi="仿宋" w:eastAsia="仿宋" w:cs="仿宋"/>
          <w:sz w:val="32"/>
          <w:szCs w:val="32"/>
        </w:rPr>
        <w:t>传输设备</w:t>
      </w:r>
      <w:bookmarkEnd w:id="32"/>
    </w:p>
    <w:p w14:paraId="6FC01F1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7.1</w:t>
      </w:r>
      <w:r>
        <w:rPr>
          <w:rFonts w:hint="eastAsia" w:ascii="仿宋" w:hAnsi="仿宋" w:eastAsia="仿宋" w:cs="仿宋"/>
          <w:sz w:val="32"/>
          <w:szCs w:val="32"/>
        </w:rPr>
        <w:t>工业POE交换机：参考型号DH-S3000C-24GT4SFP，24口千兆，支持VLAN划分、防雷防浪涌、链路冗余；</w:t>
      </w:r>
    </w:p>
    <w:p w14:paraId="187E0A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网线：超六类屏蔽双绞线，符合ANSI/TIA-568-C标准，单段传输距离≥100m，室内外通用，抗电磁干扰；</w:t>
      </w:r>
    </w:p>
    <w:p w14:paraId="4167B1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光纤及光模块：远距离点位采用单模千兆光纤，传输距离≥20km。</w:t>
      </w:r>
    </w:p>
    <w:p w14:paraId="67260F4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33" w:name="heading_21"/>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lang w:eastAsia="zh-CN"/>
        </w:rPr>
        <w:t>）公共广播系统设备参数</w:t>
      </w:r>
      <w:bookmarkEnd w:id="33"/>
    </w:p>
    <w:p w14:paraId="116D63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4" w:name="heading_22"/>
      <w:r>
        <w:rPr>
          <w:rFonts w:hint="eastAsia" w:ascii="仿宋" w:hAnsi="仿宋" w:eastAsia="仿宋" w:cs="仿宋"/>
          <w:sz w:val="32"/>
          <w:szCs w:val="32"/>
          <w:lang w:val="en-US" w:eastAsia="zh-CN"/>
        </w:rPr>
        <w:t>1.</w:t>
      </w:r>
      <w:r>
        <w:rPr>
          <w:rFonts w:hint="eastAsia" w:ascii="仿宋" w:hAnsi="仿宋" w:eastAsia="仿宋" w:cs="仿宋"/>
          <w:sz w:val="32"/>
          <w:szCs w:val="32"/>
        </w:rPr>
        <w:t>广播主机</w:t>
      </w:r>
      <w:bookmarkEnd w:id="34"/>
    </w:p>
    <w:p w14:paraId="5D5DC0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参考型号：大华HY500</w:t>
      </w:r>
    </w:p>
    <w:p w14:paraId="3933EFF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总输出功率：≥500W</w:t>
      </w:r>
    </w:p>
    <w:p w14:paraId="1D9FF9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分区：支持不少于3个独立分区，分区使用权限可自定义设置</w:t>
      </w:r>
    </w:p>
    <w:p w14:paraId="262AE9E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1.4</w:t>
      </w:r>
      <w:r>
        <w:rPr>
          <w:rFonts w:hint="eastAsia" w:ascii="仿宋" w:hAnsi="仿宋" w:eastAsia="仿宋" w:cs="仿宋"/>
          <w:sz w:val="32"/>
          <w:szCs w:val="32"/>
        </w:rPr>
        <w:t>接口：配备麦克风、线路、USB、网络多音源输入，兼容MP3、WAV音频格式</w:t>
      </w:r>
    </w:p>
    <w:p w14:paraId="7BA2D2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1.5</w:t>
      </w:r>
      <w:r>
        <w:rPr>
          <w:rFonts w:hint="eastAsia" w:ascii="仿宋" w:hAnsi="仿宋" w:eastAsia="仿宋" w:cs="仿宋"/>
          <w:sz w:val="32"/>
          <w:szCs w:val="32"/>
        </w:rPr>
        <w:t>功能：定时编程播放、远程管理，标配消防联动接口，应急广播优先启动。</w:t>
      </w:r>
    </w:p>
    <w:p w14:paraId="48F049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5" w:name="heading_23"/>
      <w:r>
        <w:rPr>
          <w:rFonts w:hint="eastAsia" w:ascii="仿宋" w:hAnsi="仿宋" w:eastAsia="仿宋" w:cs="仿宋"/>
          <w:sz w:val="32"/>
          <w:szCs w:val="32"/>
          <w:lang w:val="en-US" w:eastAsia="zh-CN"/>
        </w:rPr>
        <w:t>2.</w:t>
      </w:r>
      <w:r>
        <w:rPr>
          <w:rFonts w:hint="eastAsia" w:ascii="仿宋" w:hAnsi="仿宋" w:eastAsia="仿宋" w:cs="仿宋"/>
          <w:sz w:val="32"/>
          <w:szCs w:val="32"/>
        </w:rPr>
        <w:t>户外号角喇叭</w:t>
      </w:r>
      <w:bookmarkEnd w:id="35"/>
    </w:p>
    <w:p w14:paraId="57DEA9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2.1</w:t>
      </w:r>
      <w:r>
        <w:rPr>
          <w:rFonts w:hint="eastAsia" w:ascii="仿宋" w:hAnsi="仿宋" w:eastAsia="仿宋" w:cs="仿宋"/>
          <w:sz w:val="32"/>
          <w:szCs w:val="32"/>
        </w:rPr>
        <w:t>参考型号：康美GE-320A</w:t>
      </w:r>
    </w:p>
    <w:p w14:paraId="67D3DC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2.2</w:t>
      </w:r>
      <w:r>
        <w:rPr>
          <w:rFonts w:hint="eastAsia" w:ascii="仿宋" w:hAnsi="仿宋" w:eastAsia="仿宋" w:cs="仿宋"/>
          <w:sz w:val="32"/>
          <w:szCs w:val="32"/>
        </w:rPr>
        <w:t>功率：30W，支持70V/100V定压输入</w:t>
      </w:r>
    </w:p>
    <w:p w14:paraId="5EC330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2.3</w:t>
      </w:r>
      <w:r>
        <w:rPr>
          <w:rFonts w:hint="eastAsia" w:ascii="仿宋" w:hAnsi="仿宋" w:eastAsia="仿宋" w:cs="仿宋"/>
          <w:sz w:val="32"/>
          <w:szCs w:val="32"/>
        </w:rPr>
        <w:t>频响范围：100Hz~15kHz</w:t>
      </w:r>
    </w:p>
    <w:p w14:paraId="381DD9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2.4</w:t>
      </w:r>
      <w:r>
        <w:rPr>
          <w:rFonts w:hint="eastAsia" w:ascii="仿宋" w:hAnsi="仿宋" w:eastAsia="仿宋" w:cs="仿宋"/>
          <w:sz w:val="32"/>
          <w:szCs w:val="32"/>
        </w:rPr>
        <w:t>防护等级：IP54，防水防尘，支持壁挂、立柱安装。</w:t>
      </w:r>
    </w:p>
    <w:p w14:paraId="2BB4F20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6" w:name="heading_24"/>
      <w:r>
        <w:rPr>
          <w:rFonts w:hint="eastAsia" w:ascii="仿宋" w:hAnsi="仿宋" w:eastAsia="仿宋" w:cs="仿宋"/>
          <w:sz w:val="32"/>
          <w:szCs w:val="32"/>
          <w:lang w:val="en-US" w:eastAsia="zh-CN"/>
        </w:rPr>
        <w:t>3.</w:t>
      </w:r>
      <w:r>
        <w:rPr>
          <w:rFonts w:hint="eastAsia" w:ascii="仿宋" w:hAnsi="仿宋" w:eastAsia="仿宋" w:cs="仿宋"/>
          <w:sz w:val="32"/>
          <w:szCs w:val="32"/>
        </w:rPr>
        <w:t>拾音器</w:t>
      </w:r>
      <w:bookmarkEnd w:id="36"/>
    </w:p>
    <w:p w14:paraId="7D5041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3.1</w:t>
      </w:r>
      <w:r>
        <w:rPr>
          <w:rFonts w:hint="eastAsia" w:ascii="仿宋" w:hAnsi="仿宋" w:eastAsia="仿宋" w:cs="仿宋"/>
          <w:sz w:val="32"/>
          <w:szCs w:val="32"/>
        </w:rPr>
        <w:t>参考型号：思正CTT-008N</w:t>
      </w:r>
    </w:p>
    <w:p w14:paraId="5FD358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3.2</w:t>
      </w:r>
      <w:r>
        <w:rPr>
          <w:rFonts w:hint="eastAsia" w:ascii="仿宋" w:hAnsi="仿宋" w:eastAsia="仿宋" w:cs="仿宋"/>
          <w:sz w:val="32"/>
          <w:szCs w:val="32"/>
        </w:rPr>
        <w:t>供电：DC12V，内置降噪电路，适配广播主机麦克风接口。</w:t>
      </w:r>
    </w:p>
    <w:p w14:paraId="7D3C5B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bookmarkStart w:id="37" w:name="heading_25"/>
      <w:r>
        <w:rPr>
          <w:rFonts w:hint="eastAsia" w:ascii="仿宋" w:hAnsi="仿宋" w:eastAsia="仿宋" w:cs="仿宋"/>
          <w:sz w:val="32"/>
          <w:szCs w:val="32"/>
          <w:highlight w:val="none"/>
        </w:rPr>
        <w:t>4</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LED彩屏系统参数</w:t>
      </w:r>
      <w:bookmarkEnd w:id="37"/>
    </w:p>
    <w:p w14:paraId="03B408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4.1</w:t>
      </w:r>
      <w:r>
        <w:rPr>
          <w:rFonts w:hint="eastAsia" w:ascii="仿宋" w:hAnsi="仿宋" w:eastAsia="仿宋" w:cs="仿宋"/>
          <w:sz w:val="32"/>
          <w:szCs w:val="32"/>
          <w:highlight w:val="none"/>
        </w:rPr>
        <w:t>物理尺寸：</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m（宽）×</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m（长），含全套安装框架</w:t>
      </w:r>
    </w:p>
    <w:p w14:paraId="6D85AB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4.2</w:t>
      </w:r>
      <w:r>
        <w:rPr>
          <w:rFonts w:hint="eastAsia" w:ascii="仿宋" w:hAnsi="仿宋" w:eastAsia="仿宋" w:cs="仿宋"/>
          <w:sz w:val="32"/>
          <w:szCs w:val="32"/>
          <w:highlight w:val="none"/>
        </w:rPr>
        <w:t>像素间距：P</w:t>
      </w:r>
      <w:r>
        <w:rPr>
          <w:rFonts w:hint="eastAsia" w:ascii="仿宋" w:hAnsi="仿宋" w:eastAsia="仿宋" w:cs="仿宋"/>
          <w:sz w:val="32"/>
          <w:szCs w:val="32"/>
          <w:highlight w:val="none"/>
          <w:lang w:val="en-US" w:eastAsia="zh-CN"/>
        </w:rPr>
        <w:t>1.25</w:t>
      </w:r>
    </w:p>
    <w:p w14:paraId="594141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4.3</w:t>
      </w:r>
      <w:r>
        <w:rPr>
          <w:rFonts w:hint="eastAsia" w:ascii="仿宋" w:hAnsi="仿宋" w:eastAsia="仿宋" w:cs="仿宋"/>
          <w:sz w:val="32"/>
          <w:szCs w:val="32"/>
          <w:highlight w:val="none"/>
        </w:rPr>
        <w:t>物理分辨率：600点（宽）×1200点（高）</w:t>
      </w:r>
    </w:p>
    <w:p w14:paraId="06FBC7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4.4</w:t>
      </w:r>
      <w:r>
        <w:rPr>
          <w:rFonts w:hint="eastAsia" w:ascii="仿宋" w:hAnsi="仿宋" w:eastAsia="仿宋" w:cs="仿宋"/>
          <w:sz w:val="32"/>
          <w:szCs w:val="32"/>
          <w:highlight w:val="none"/>
        </w:rPr>
        <w:t>亮度：室内≥300cd/㎡，户外≥5000cd/㎡，支持智能亮度调节</w:t>
      </w:r>
    </w:p>
    <w:p w14:paraId="33BA4F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4.5</w:t>
      </w:r>
      <w:r>
        <w:rPr>
          <w:rFonts w:hint="eastAsia" w:ascii="仿宋" w:hAnsi="仿宋" w:eastAsia="仿宋" w:cs="仿宋"/>
          <w:sz w:val="32"/>
          <w:szCs w:val="32"/>
          <w:highlight w:val="none"/>
        </w:rPr>
        <w:t>显示性能：14bit灰度，色域≥90%Rec.709，刷新率≥1920Hz，无频闪、无拖影</w:t>
      </w:r>
    </w:p>
    <w:p w14:paraId="491137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4.6</w:t>
      </w:r>
      <w:r>
        <w:rPr>
          <w:rFonts w:hint="eastAsia" w:ascii="仿宋" w:hAnsi="仿宋" w:eastAsia="仿宋" w:cs="仿宋"/>
          <w:sz w:val="32"/>
          <w:szCs w:val="32"/>
          <w:highlight w:val="none"/>
        </w:rPr>
        <w:t>灯珠与模组：户外采用抗UV黑灯珠，防褪色；压铸铝模组，散热性能优良，板面平整度≤0.1mm</w:t>
      </w:r>
    </w:p>
    <w:p w14:paraId="2A6E19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4.7</w:t>
      </w:r>
      <w:r>
        <w:rPr>
          <w:rFonts w:hint="eastAsia" w:ascii="仿宋" w:hAnsi="仿宋" w:eastAsia="仿宋" w:cs="仿宋"/>
          <w:sz w:val="32"/>
          <w:szCs w:val="32"/>
          <w:highlight w:val="none"/>
        </w:rPr>
        <w:t>质量标准：整屏像素死点率≤1/1000000，无连续死点、亮线、暗线，出厂全检校准</w:t>
      </w:r>
    </w:p>
    <w:p w14:paraId="0D1EAE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4.8</w:t>
      </w:r>
      <w:r>
        <w:rPr>
          <w:rFonts w:hint="eastAsia" w:ascii="仿宋" w:hAnsi="仿宋" w:eastAsia="仿宋" w:cs="仿宋"/>
          <w:sz w:val="32"/>
          <w:szCs w:val="32"/>
          <w:highlight w:val="none"/>
        </w:rPr>
        <w:t>防护：户外屏体正反面做防尘、防水、抗扬尘处理，适配工业厂区环境。</w:t>
      </w:r>
    </w:p>
    <w:p w14:paraId="21AF562E">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38" w:name="heading_26"/>
      <w:r>
        <w:rPr>
          <w:rFonts w:hint="eastAsia" w:ascii="仿宋" w:hAnsi="仿宋" w:eastAsia="仿宋" w:cs="仿宋"/>
          <w:b/>
          <w:bCs/>
          <w:sz w:val="32"/>
          <w:szCs w:val="32"/>
          <w:lang w:eastAsia="zh-CN"/>
        </w:rPr>
        <w:t>供电</w:t>
      </w:r>
      <w:r>
        <w:rPr>
          <w:rFonts w:hint="eastAsia" w:ascii="仿宋" w:hAnsi="仿宋" w:eastAsia="仿宋" w:cs="仿宋"/>
          <w:b/>
          <w:bCs/>
          <w:sz w:val="32"/>
          <w:szCs w:val="32"/>
          <w:lang w:val="en-US" w:eastAsia="zh-CN"/>
        </w:rPr>
        <w:t>及后备电源</w:t>
      </w:r>
      <w:r>
        <w:rPr>
          <w:rFonts w:hint="eastAsia" w:ascii="仿宋" w:hAnsi="仿宋" w:eastAsia="仿宋" w:cs="仿宋"/>
          <w:b/>
          <w:bCs/>
          <w:sz w:val="32"/>
          <w:szCs w:val="32"/>
          <w:lang w:eastAsia="zh-CN"/>
        </w:rPr>
        <w:t>与防雷设备</w:t>
      </w:r>
      <w:bookmarkEnd w:id="38"/>
    </w:p>
    <w:p w14:paraId="00BFE11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outlineLvl w:val="1"/>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1.此项目安防设施单独供电，所有设备电源由机房总出，严禁就近取电。有双电源自动切换功能，备用电源能保证运行八小时时长.</w:t>
      </w:r>
    </w:p>
    <w:p w14:paraId="0E6191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39" w:name="heading_27"/>
      <w:r>
        <w:rPr>
          <w:rFonts w:hint="eastAsia" w:ascii="仿宋" w:hAnsi="仿宋" w:eastAsia="仿宋" w:cs="仿宋"/>
          <w:sz w:val="32"/>
          <w:szCs w:val="32"/>
          <w:lang w:val="en-US" w:eastAsia="zh-CN"/>
        </w:rPr>
        <w:t>2.</w:t>
      </w:r>
      <w:r>
        <w:rPr>
          <w:rFonts w:hint="eastAsia" w:ascii="仿宋" w:hAnsi="仿宋" w:eastAsia="仿宋" w:cs="仿宋"/>
          <w:sz w:val="32"/>
          <w:szCs w:val="32"/>
        </w:rPr>
        <w:t>UPS不间断电源</w:t>
      </w:r>
      <w:bookmarkEnd w:id="39"/>
      <w:r>
        <w:rPr>
          <w:rFonts w:hint="eastAsia" w:ascii="仿宋" w:hAnsi="仿宋" w:eastAsia="仿宋" w:cs="仿宋"/>
          <w:sz w:val="32"/>
          <w:szCs w:val="32"/>
          <w:lang w:eastAsia="zh-CN"/>
        </w:rPr>
        <w:t>：</w:t>
      </w:r>
      <w:r>
        <w:rPr>
          <w:rFonts w:hint="eastAsia" w:ascii="仿宋" w:hAnsi="仿宋" w:eastAsia="仿宋" w:cs="仿宋"/>
          <w:sz w:val="32"/>
          <w:szCs w:val="32"/>
        </w:rPr>
        <w:t>为NVR、核心交换机、广播主机、管理终端集中供电，后备续航时长≥</w:t>
      </w:r>
      <w:r>
        <w:rPr>
          <w:rFonts w:hint="eastAsia" w:ascii="仿宋" w:hAnsi="仿宋" w:eastAsia="仿宋" w:cs="仿宋"/>
          <w:sz w:val="32"/>
          <w:szCs w:val="32"/>
          <w:lang w:val="en-US" w:eastAsia="zh-CN"/>
        </w:rPr>
        <w:t>8</w:t>
      </w:r>
      <w:r>
        <w:rPr>
          <w:rFonts w:hint="eastAsia" w:ascii="仿宋" w:hAnsi="仿宋" w:eastAsia="仿宋" w:cs="仿宋"/>
          <w:sz w:val="32"/>
          <w:szCs w:val="32"/>
        </w:rPr>
        <w:t>小时，符合GB/T7260-2008标准，7×24小时稳定运行。</w:t>
      </w:r>
    </w:p>
    <w:p w14:paraId="27C5CD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40" w:name="heading_28"/>
      <w:r>
        <w:rPr>
          <w:rFonts w:hint="eastAsia" w:ascii="仿宋" w:hAnsi="仿宋" w:eastAsia="仿宋" w:cs="仿宋"/>
          <w:sz w:val="32"/>
          <w:szCs w:val="32"/>
          <w:lang w:val="en-US" w:eastAsia="zh-CN"/>
        </w:rPr>
        <w:t>3.</w:t>
      </w:r>
      <w:r>
        <w:rPr>
          <w:rFonts w:hint="eastAsia" w:ascii="仿宋" w:hAnsi="仿宋" w:eastAsia="仿宋" w:cs="仿宋"/>
          <w:sz w:val="32"/>
          <w:szCs w:val="32"/>
        </w:rPr>
        <w:t>防雷设备</w:t>
      </w:r>
      <w:bookmarkEnd w:id="40"/>
    </w:p>
    <w:p w14:paraId="5AB21A6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3.1</w:t>
      </w:r>
      <w:r>
        <w:rPr>
          <w:rFonts w:hint="eastAsia" w:ascii="仿宋" w:hAnsi="仿宋" w:eastAsia="仿宋" w:cs="仿宋"/>
          <w:sz w:val="32"/>
          <w:szCs w:val="32"/>
        </w:rPr>
        <w:t>所有室外网络点位配置网络防雷器，所有前端设备配置电源防雷器；</w:t>
      </w:r>
    </w:p>
    <w:p w14:paraId="57EE60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3.2</w:t>
      </w:r>
      <w:r>
        <w:rPr>
          <w:rFonts w:hint="eastAsia" w:ascii="仿宋" w:hAnsi="仿宋" w:eastAsia="仿宋" w:cs="仿宋"/>
          <w:sz w:val="32"/>
          <w:szCs w:val="32"/>
        </w:rPr>
        <w:t>室外立杆、金属桥架、设备外壳做等电位联结，全系统接地电阻≤4Ω。</w:t>
      </w:r>
    </w:p>
    <w:p w14:paraId="71F507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41" w:name="heading_29"/>
      <w:r>
        <w:rPr>
          <w:rFonts w:hint="eastAsia" w:ascii="仿宋" w:hAnsi="仿宋" w:eastAsia="仿宋" w:cs="仿宋"/>
          <w:sz w:val="32"/>
          <w:szCs w:val="32"/>
          <w:lang w:val="en-US" w:eastAsia="zh-CN"/>
        </w:rPr>
        <w:t>4.</w:t>
      </w:r>
      <w:r>
        <w:rPr>
          <w:rFonts w:hint="eastAsia" w:ascii="仿宋" w:hAnsi="仿宋" w:eastAsia="仿宋" w:cs="仿宋"/>
          <w:sz w:val="32"/>
          <w:szCs w:val="32"/>
        </w:rPr>
        <w:t>防爆电源</w:t>
      </w:r>
      <w:bookmarkEnd w:id="41"/>
      <w:r>
        <w:rPr>
          <w:rFonts w:hint="eastAsia" w:ascii="仿宋" w:hAnsi="仿宋" w:eastAsia="仿宋" w:cs="仿宋"/>
          <w:sz w:val="32"/>
          <w:szCs w:val="32"/>
          <w:lang w:eastAsia="zh-CN"/>
        </w:rPr>
        <w:t>：</w:t>
      </w:r>
      <w:r>
        <w:rPr>
          <w:rFonts w:hint="eastAsia" w:ascii="仿宋" w:hAnsi="仿宋" w:eastAsia="仿宋" w:cs="仿宋"/>
          <w:sz w:val="32"/>
          <w:szCs w:val="32"/>
        </w:rPr>
        <w:t>防爆区域摄像机、广播喇叭配套专用防爆电源适配器，严禁普通电源在危险区域使用。</w:t>
      </w:r>
    </w:p>
    <w:p w14:paraId="20754EE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bookmarkStart w:id="42" w:name="heading_30"/>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五</w:t>
      </w:r>
      <w:r>
        <w:rPr>
          <w:rFonts w:hint="eastAsia" w:ascii="仿宋" w:hAnsi="仿宋" w:eastAsia="仿宋" w:cs="仿宋"/>
          <w:b/>
          <w:bCs/>
          <w:sz w:val="32"/>
          <w:szCs w:val="32"/>
          <w:lang w:eastAsia="zh-CN"/>
        </w:rPr>
        <w:t>）管线及辅材</w:t>
      </w:r>
      <w:bookmarkEnd w:id="42"/>
    </w:p>
    <w:p w14:paraId="64B9FD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本项目所有桥架、镀锌钢管、不锈钢管、防水接头、固定支架、线缆标识、扎带、防水胶等全部施工辅材由乙方统一提供并安装。</w:t>
      </w:r>
    </w:p>
    <w:p w14:paraId="18B75626">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43" w:name="_Toc5683"/>
      <w:bookmarkStart w:id="44" w:name="heading_31"/>
      <w:r>
        <w:rPr>
          <w:rFonts w:hint="eastAsia" w:ascii="仿宋" w:hAnsi="仿宋" w:eastAsia="仿宋" w:cs="仿宋"/>
          <w:b/>
          <w:sz w:val="36"/>
          <w:szCs w:val="36"/>
          <w:lang w:val="en-US" w:eastAsia="zh-CN"/>
        </w:rPr>
        <w:t>四、设备清单及规格配置</w:t>
      </w:r>
      <w:bookmarkEnd w:id="43"/>
      <w:bookmarkEnd w:id="44"/>
    </w:p>
    <w:tbl>
      <w:tblPr>
        <w:tblStyle w:val="3"/>
        <w:tblW w:w="9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94"/>
        <w:gridCol w:w="1545"/>
        <w:gridCol w:w="2115"/>
        <w:gridCol w:w="855"/>
        <w:gridCol w:w="840"/>
        <w:gridCol w:w="3724"/>
      </w:tblGrid>
      <w:tr w14:paraId="1076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481CE876">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545" w:type="dxa"/>
            <w:tcMar>
              <w:top w:w="60" w:type="dxa"/>
              <w:left w:w="120" w:type="dxa"/>
              <w:bottom w:w="30" w:type="dxa"/>
              <w:right w:w="120" w:type="dxa"/>
            </w:tcMar>
            <w:vAlign w:val="center"/>
          </w:tcPr>
          <w:p w14:paraId="6E0783A1">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设备名称</w:t>
            </w:r>
          </w:p>
        </w:tc>
        <w:tc>
          <w:tcPr>
            <w:tcW w:w="2115" w:type="dxa"/>
            <w:tcMar>
              <w:top w:w="60" w:type="dxa"/>
              <w:left w:w="120" w:type="dxa"/>
              <w:bottom w:w="30" w:type="dxa"/>
              <w:right w:w="120" w:type="dxa"/>
            </w:tcMar>
            <w:vAlign w:val="center"/>
          </w:tcPr>
          <w:p w14:paraId="17A59651">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参考规格型号</w:t>
            </w:r>
          </w:p>
        </w:tc>
        <w:tc>
          <w:tcPr>
            <w:tcW w:w="855" w:type="dxa"/>
            <w:tcMar>
              <w:top w:w="60" w:type="dxa"/>
              <w:left w:w="120" w:type="dxa"/>
              <w:bottom w:w="30" w:type="dxa"/>
              <w:right w:w="120" w:type="dxa"/>
            </w:tcMar>
            <w:vAlign w:val="center"/>
          </w:tcPr>
          <w:p w14:paraId="2035A2B4">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单位</w:t>
            </w:r>
          </w:p>
        </w:tc>
        <w:tc>
          <w:tcPr>
            <w:tcW w:w="840" w:type="dxa"/>
            <w:tcMar>
              <w:top w:w="60" w:type="dxa"/>
              <w:left w:w="120" w:type="dxa"/>
              <w:bottom w:w="30" w:type="dxa"/>
              <w:right w:w="120" w:type="dxa"/>
            </w:tcMar>
            <w:vAlign w:val="center"/>
          </w:tcPr>
          <w:p w14:paraId="3BA97650">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数量</w:t>
            </w:r>
          </w:p>
        </w:tc>
        <w:tc>
          <w:tcPr>
            <w:tcW w:w="3724" w:type="dxa"/>
            <w:tcMar>
              <w:top w:w="60" w:type="dxa"/>
              <w:left w:w="120" w:type="dxa"/>
              <w:bottom w:w="30" w:type="dxa"/>
              <w:right w:w="120" w:type="dxa"/>
            </w:tcMar>
            <w:vAlign w:val="center"/>
          </w:tcPr>
          <w:p w14:paraId="60AF6991">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核心技术说明</w:t>
            </w:r>
          </w:p>
        </w:tc>
      </w:tr>
      <w:tr w14:paraId="6FD1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90" w:hRule="atLeast"/>
          <w:jc w:val="center"/>
        </w:trPr>
        <w:tc>
          <w:tcPr>
            <w:tcW w:w="894" w:type="dxa"/>
            <w:tcMar>
              <w:top w:w="60" w:type="dxa"/>
              <w:left w:w="120" w:type="dxa"/>
              <w:bottom w:w="30" w:type="dxa"/>
              <w:right w:w="120" w:type="dxa"/>
            </w:tcMar>
            <w:vAlign w:val="center"/>
          </w:tcPr>
          <w:p w14:paraId="03102BFE">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1545" w:type="dxa"/>
            <w:tcMar>
              <w:top w:w="60" w:type="dxa"/>
              <w:left w:w="120" w:type="dxa"/>
              <w:bottom w:w="30" w:type="dxa"/>
              <w:right w:w="120" w:type="dxa"/>
            </w:tcMar>
            <w:vAlign w:val="center"/>
          </w:tcPr>
          <w:p w14:paraId="6BE99169">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普通网络枪机</w:t>
            </w:r>
          </w:p>
        </w:tc>
        <w:tc>
          <w:tcPr>
            <w:tcW w:w="2115" w:type="dxa"/>
            <w:tcMar>
              <w:top w:w="60" w:type="dxa"/>
              <w:left w:w="120" w:type="dxa"/>
              <w:bottom w:w="30" w:type="dxa"/>
              <w:right w:w="120" w:type="dxa"/>
            </w:tcMar>
            <w:vAlign w:val="center"/>
          </w:tcPr>
          <w:p w14:paraId="73D93A87">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DH-IPC-HFW2449M-A-LED</w:t>
            </w:r>
          </w:p>
        </w:tc>
        <w:tc>
          <w:tcPr>
            <w:tcW w:w="855" w:type="dxa"/>
            <w:tcMar>
              <w:top w:w="60" w:type="dxa"/>
              <w:left w:w="120" w:type="dxa"/>
              <w:bottom w:w="30" w:type="dxa"/>
              <w:right w:w="120" w:type="dxa"/>
            </w:tcMar>
            <w:vAlign w:val="center"/>
          </w:tcPr>
          <w:p w14:paraId="70D1D206">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5CAB311C">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106</w:t>
            </w:r>
          </w:p>
        </w:tc>
        <w:tc>
          <w:tcPr>
            <w:tcW w:w="3724" w:type="dxa"/>
            <w:tcMar>
              <w:top w:w="60" w:type="dxa"/>
              <w:left w:w="120" w:type="dxa"/>
              <w:bottom w:w="30" w:type="dxa"/>
              <w:right w:w="120" w:type="dxa"/>
            </w:tcMar>
            <w:vAlign w:val="center"/>
          </w:tcPr>
          <w:p w14:paraId="4234637E">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400万像素、6mm定焦、超星光、H.265编码、内置语音、周界防范、IP66</w:t>
            </w:r>
          </w:p>
        </w:tc>
      </w:tr>
      <w:tr w14:paraId="3332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894" w:type="dxa"/>
            <w:tcMar>
              <w:top w:w="60" w:type="dxa"/>
              <w:left w:w="120" w:type="dxa"/>
              <w:bottom w:w="30" w:type="dxa"/>
              <w:right w:w="120" w:type="dxa"/>
            </w:tcMar>
            <w:vAlign w:val="center"/>
          </w:tcPr>
          <w:p w14:paraId="6FE2C6AD">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2</w:t>
            </w:r>
          </w:p>
        </w:tc>
        <w:tc>
          <w:tcPr>
            <w:tcW w:w="1545" w:type="dxa"/>
            <w:tcMar>
              <w:top w:w="60" w:type="dxa"/>
              <w:left w:w="120" w:type="dxa"/>
              <w:bottom w:w="30" w:type="dxa"/>
              <w:right w:w="120" w:type="dxa"/>
            </w:tcMar>
            <w:vAlign w:val="center"/>
          </w:tcPr>
          <w:p w14:paraId="31BA214A">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普通防爆枪机</w:t>
            </w:r>
          </w:p>
        </w:tc>
        <w:tc>
          <w:tcPr>
            <w:tcW w:w="2115" w:type="dxa"/>
            <w:tcMar>
              <w:top w:w="60" w:type="dxa"/>
              <w:left w:w="120" w:type="dxa"/>
              <w:bottom w:w="30" w:type="dxa"/>
              <w:right w:w="120" w:type="dxa"/>
            </w:tcMar>
            <w:vAlign w:val="center"/>
          </w:tcPr>
          <w:p w14:paraId="3C013FC3">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DH-IPC-HFW2439M-AS-LED(6mm)</w:t>
            </w:r>
          </w:p>
        </w:tc>
        <w:tc>
          <w:tcPr>
            <w:tcW w:w="855" w:type="dxa"/>
            <w:tcMar>
              <w:top w:w="60" w:type="dxa"/>
              <w:left w:w="120" w:type="dxa"/>
              <w:bottom w:w="30" w:type="dxa"/>
              <w:right w:w="120" w:type="dxa"/>
            </w:tcMar>
            <w:vAlign w:val="center"/>
          </w:tcPr>
          <w:p w14:paraId="67B499DA">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55B8DDBE">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w:t>
            </w:r>
          </w:p>
        </w:tc>
        <w:tc>
          <w:tcPr>
            <w:tcW w:w="3724" w:type="dxa"/>
            <w:tcMar>
              <w:top w:w="60" w:type="dxa"/>
              <w:left w:w="120" w:type="dxa"/>
              <w:bottom w:w="30" w:type="dxa"/>
              <w:right w:w="120" w:type="dxa"/>
            </w:tcMar>
            <w:vAlign w:val="center"/>
          </w:tcPr>
          <w:p w14:paraId="2975EB4D">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400万像素、暖光全彩、音频输入、人形/车辆检测、防爆结构、IP66</w:t>
            </w:r>
          </w:p>
        </w:tc>
      </w:tr>
      <w:tr w14:paraId="1EAC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2A2FFE53">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3</w:t>
            </w:r>
          </w:p>
        </w:tc>
        <w:tc>
          <w:tcPr>
            <w:tcW w:w="1545" w:type="dxa"/>
            <w:tcMar>
              <w:top w:w="60" w:type="dxa"/>
              <w:left w:w="120" w:type="dxa"/>
              <w:bottom w:w="30" w:type="dxa"/>
              <w:right w:w="120" w:type="dxa"/>
            </w:tcMar>
            <w:vAlign w:val="center"/>
          </w:tcPr>
          <w:p w14:paraId="3E527C20">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高温防爆枪机</w:t>
            </w:r>
          </w:p>
        </w:tc>
        <w:tc>
          <w:tcPr>
            <w:tcW w:w="2115" w:type="dxa"/>
            <w:tcMar>
              <w:top w:w="60" w:type="dxa"/>
              <w:left w:w="120" w:type="dxa"/>
              <w:bottom w:w="30" w:type="dxa"/>
              <w:right w:w="120" w:type="dxa"/>
            </w:tcMar>
            <w:vAlign w:val="center"/>
          </w:tcPr>
          <w:p w14:paraId="5545BE4E">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DH-IPC-HFE-7443M-ZAS</w:t>
            </w:r>
          </w:p>
        </w:tc>
        <w:tc>
          <w:tcPr>
            <w:tcW w:w="855" w:type="dxa"/>
            <w:tcMar>
              <w:top w:w="60" w:type="dxa"/>
              <w:left w:w="120" w:type="dxa"/>
              <w:bottom w:w="30" w:type="dxa"/>
              <w:right w:w="120" w:type="dxa"/>
            </w:tcMar>
            <w:vAlign w:val="center"/>
          </w:tcPr>
          <w:p w14:paraId="409BCC5D">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26FBBAA9">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w:t>
            </w:r>
          </w:p>
        </w:tc>
        <w:tc>
          <w:tcPr>
            <w:tcW w:w="3724" w:type="dxa"/>
            <w:tcMar>
              <w:top w:w="60" w:type="dxa"/>
              <w:left w:w="120" w:type="dxa"/>
              <w:bottom w:w="30" w:type="dxa"/>
              <w:right w:w="120" w:type="dxa"/>
            </w:tcMar>
            <w:vAlign w:val="center"/>
          </w:tcPr>
          <w:p w14:paraId="14E770E2">
            <w:pPr>
              <w:keepNext w:val="0"/>
              <w:keepLines w:val="0"/>
              <w:pageBreakBefore w:val="0"/>
              <w:widowControl w:val="0"/>
              <w:kinsoku/>
              <w:wordWrap/>
              <w:overflowPunct/>
              <w:topLinePunct w:val="0"/>
              <w:autoSpaceDE/>
              <w:autoSpaceDN/>
              <w:bidi w:val="0"/>
              <w:adjustRightInd/>
              <w:snapToGrid/>
              <w:spacing w:before="120" w:after="120" w:line="50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400万像素、红外夜视50m、宽动态、耐高温防爆</w:t>
            </w:r>
          </w:p>
        </w:tc>
      </w:tr>
      <w:tr w14:paraId="0859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45" w:hRule="atLeast"/>
          <w:jc w:val="center"/>
        </w:trPr>
        <w:tc>
          <w:tcPr>
            <w:tcW w:w="894" w:type="dxa"/>
            <w:tcMar>
              <w:top w:w="60" w:type="dxa"/>
              <w:left w:w="120" w:type="dxa"/>
              <w:bottom w:w="30" w:type="dxa"/>
              <w:right w:w="120" w:type="dxa"/>
            </w:tcMar>
            <w:vAlign w:val="center"/>
          </w:tcPr>
          <w:p w14:paraId="5D90946B">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4</w:t>
            </w:r>
          </w:p>
        </w:tc>
        <w:tc>
          <w:tcPr>
            <w:tcW w:w="1545" w:type="dxa"/>
            <w:tcMar>
              <w:top w:w="60" w:type="dxa"/>
              <w:left w:w="120" w:type="dxa"/>
              <w:bottom w:w="30" w:type="dxa"/>
              <w:right w:w="120" w:type="dxa"/>
            </w:tcMar>
            <w:vAlign w:val="center"/>
          </w:tcPr>
          <w:p w14:paraId="4C60397D">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360°全景球机</w:t>
            </w:r>
          </w:p>
        </w:tc>
        <w:tc>
          <w:tcPr>
            <w:tcW w:w="2115" w:type="dxa"/>
            <w:tcMar>
              <w:top w:w="60" w:type="dxa"/>
              <w:left w:w="120" w:type="dxa"/>
              <w:bottom w:w="30" w:type="dxa"/>
              <w:right w:w="120" w:type="dxa"/>
            </w:tcMar>
            <w:vAlign w:val="center"/>
          </w:tcPr>
          <w:p w14:paraId="0BEB6C5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DH-IPCMFW8849XS-ZHL-8E2</w:t>
            </w:r>
          </w:p>
        </w:tc>
        <w:tc>
          <w:tcPr>
            <w:tcW w:w="855" w:type="dxa"/>
            <w:tcMar>
              <w:top w:w="60" w:type="dxa"/>
              <w:left w:w="120" w:type="dxa"/>
              <w:bottom w:w="30" w:type="dxa"/>
              <w:right w:w="120" w:type="dxa"/>
            </w:tcMar>
            <w:vAlign w:val="center"/>
          </w:tcPr>
          <w:p w14:paraId="0388028A">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15FC0FA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3724" w:type="dxa"/>
            <w:tcMar>
              <w:top w:w="60" w:type="dxa"/>
              <w:left w:w="120" w:type="dxa"/>
              <w:bottom w:w="30" w:type="dxa"/>
              <w:right w:w="120" w:type="dxa"/>
            </w:tcMar>
            <w:vAlign w:val="center"/>
          </w:tcPr>
          <w:p w14:paraId="36B5E8B7">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800万像素、双夜视模式、双向对讲、IP67、人形追踪</w:t>
            </w:r>
          </w:p>
        </w:tc>
      </w:tr>
      <w:tr w14:paraId="582F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5BC38F2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5</w:t>
            </w:r>
          </w:p>
        </w:tc>
        <w:tc>
          <w:tcPr>
            <w:tcW w:w="1545" w:type="dxa"/>
            <w:tcMar>
              <w:top w:w="60" w:type="dxa"/>
              <w:left w:w="120" w:type="dxa"/>
              <w:bottom w:w="30" w:type="dxa"/>
              <w:right w:w="120" w:type="dxa"/>
            </w:tcMar>
            <w:vAlign w:val="center"/>
          </w:tcPr>
          <w:p w14:paraId="66DEDD3D">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工业号角喇叭</w:t>
            </w:r>
          </w:p>
        </w:tc>
        <w:tc>
          <w:tcPr>
            <w:tcW w:w="2115" w:type="dxa"/>
            <w:tcMar>
              <w:top w:w="60" w:type="dxa"/>
              <w:left w:w="120" w:type="dxa"/>
              <w:bottom w:w="30" w:type="dxa"/>
              <w:right w:w="120" w:type="dxa"/>
            </w:tcMar>
            <w:vAlign w:val="center"/>
          </w:tcPr>
          <w:p w14:paraId="5A25302D">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康美GE-320A(30W)</w:t>
            </w:r>
          </w:p>
        </w:tc>
        <w:tc>
          <w:tcPr>
            <w:tcW w:w="855" w:type="dxa"/>
            <w:tcMar>
              <w:top w:w="60" w:type="dxa"/>
              <w:left w:w="120" w:type="dxa"/>
              <w:bottom w:w="30" w:type="dxa"/>
              <w:right w:w="120" w:type="dxa"/>
            </w:tcMar>
            <w:vAlign w:val="center"/>
          </w:tcPr>
          <w:p w14:paraId="4C730A6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4BF3E8D2">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26</w:t>
            </w:r>
          </w:p>
        </w:tc>
        <w:tc>
          <w:tcPr>
            <w:tcW w:w="3724" w:type="dxa"/>
            <w:tcMar>
              <w:top w:w="60" w:type="dxa"/>
              <w:left w:w="120" w:type="dxa"/>
              <w:bottom w:w="30" w:type="dxa"/>
              <w:right w:w="120" w:type="dxa"/>
            </w:tcMar>
            <w:vAlign w:val="center"/>
          </w:tcPr>
          <w:p w14:paraId="51723747">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30W、IP54、定压输出、户外防水</w:t>
            </w:r>
          </w:p>
        </w:tc>
      </w:tr>
      <w:tr w14:paraId="2F3C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1628BA6D">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6</w:t>
            </w:r>
          </w:p>
        </w:tc>
        <w:tc>
          <w:tcPr>
            <w:tcW w:w="1545" w:type="dxa"/>
            <w:tcMar>
              <w:top w:w="60" w:type="dxa"/>
              <w:left w:w="120" w:type="dxa"/>
              <w:bottom w:w="30" w:type="dxa"/>
              <w:right w:w="120" w:type="dxa"/>
            </w:tcMar>
            <w:vAlign w:val="center"/>
          </w:tcPr>
          <w:p w14:paraId="5444F7BF">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广播控制主机</w:t>
            </w:r>
          </w:p>
        </w:tc>
        <w:tc>
          <w:tcPr>
            <w:tcW w:w="2115" w:type="dxa"/>
            <w:tcMar>
              <w:top w:w="60" w:type="dxa"/>
              <w:left w:w="120" w:type="dxa"/>
              <w:bottom w:w="30" w:type="dxa"/>
              <w:right w:w="120" w:type="dxa"/>
            </w:tcMar>
            <w:vAlign w:val="center"/>
          </w:tcPr>
          <w:p w14:paraId="7B3C04AA">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大华HY500</w:t>
            </w:r>
          </w:p>
        </w:tc>
        <w:tc>
          <w:tcPr>
            <w:tcW w:w="855" w:type="dxa"/>
            <w:tcMar>
              <w:top w:w="60" w:type="dxa"/>
              <w:left w:w="120" w:type="dxa"/>
              <w:bottom w:w="30" w:type="dxa"/>
              <w:right w:w="120" w:type="dxa"/>
            </w:tcMar>
            <w:vAlign w:val="center"/>
          </w:tcPr>
          <w:p w14:paraId="54CF5F89">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台</w:t>
            </w:r>
          </w:p>
        </w:tc>
        <w:tc>
          <w:tcPr>
            <w:tcW w:w="840" w:type="dxa"/>
            <w:tcMar>
              <w:top w:w="60" w:type="dxa"/>
              <w:left w:w="120" w:type="dxa"/>
              <w:bottom w:w="30" w:type="dxa"/>
              <w:right w:w="120" w:type="dxa"/>
            </w:tcMar>
            <w:vAlign w:val="center"/>
          </w:tcPr>
          <w:p w14:paraId="6CF80D1F">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2698601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500W、多分区、消防联动、定时播放、远程管理</w:t>
            </w:r>
          </w:p>
        </w:tc>
      </w:tr>
      <w:tr w14:paraId="379F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182BA406">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7</w:t>
            </w:r>
          </w:p>
        </w:tc>
        <w:tc>
          <w:tcPr>
            <w:tcW w:w="1545" w:type="dxa"/>
            <w:tcMar>
              <w:top w:w="60" w:type="dxa"/>
              <w:left w:w="120" w:type="dxa"/>
              <w:bottom w:w="30" w:type="dxa"/>
              <w:right w:w="120" w:type="dxa"/>
            </w:tcMar>
            <w:vAlign w:val="center"/>
          </w:tcPr>
          <w:p w14:paraId="1E22256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拾音器</w:t>
            </w:r>
          </w:p>
        </w:tc>
        <w:tc>
          <w:tcPr>
            <w:tcW w:w="2115" w:type="dxa"/>
            <w:tcMar>
              <w:top w:w="60" w:type="dxa"/>
              <w:left w:w="120" w:type="dxa"/>
              <w:bottom w:w="30" w:type="dxa"/>
              <w:right w:w="120" w:type="dxa"/>
            </w:tcMar>
            <w:vAlign w:val="center"/>
          </w:tcPr>
          <w:p w14:paraId="408FFF3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思正CTT-008N</w:t>
            </w:r>
          </w:p>
        </w:tc>
        <w:tc>
          <w:tcPr>
            <w:tcW w:w="855" w:type="dxa"/>
            <w:tcMar>
              <w:top w:w="60" w:type="dxa"/>
              <w:left w:w="120" w:type="dxa"/>
              <w:bottom w:w="30" w:type="dxa"/>
              <w:right w:w="120" w:type="dxa"/>
            </w:tcMar>
            <w:vAlign w:val="center"/>
          </w:tcPr>
          <w:p w14:paraId="5C8E2E12">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台</w:t>
            </w:r>
          </w:p>
        </w:tc>
        <w:tc>
          <w:tcPr>
            <w:tcW w:w="840" w:type="dxa"/>
            <w:tcMar>
              <w:top w:w="60" w:type="dxa"/>
              <w:left w:w="120" w:type="dxa"/>
              <w:bottom w:w="30" w:type="dxa"/>
              <w:right w:w="120" w:type="dxa"/>
            </w:tcMar>
            <w:vAlign w:val="center"/>
          </w:tcPr>
          <w:p w14:paraId="139E389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0A23ECE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降噪型、DC12V供电</w:t>
            </w:r>
          </w:p>
        </w:tc>
      </w:tr>
      <w:tr w14:paraId="47A6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335E2DB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8</w:t>
            </w:r>
          </w:p>
        </w:tc>
        <w:tc>
          <w:tcPr>
            <w:tcW w:w="1545" w:type="dxa"/>
            <w:tcMar>
              <w:top w:w="60" w:type="dxa"/>
              <w:left w:w="120" w:type="dxa"/>
              <w:bottom w:w="30" w:type="dxa"/>
              <w:right w:w="120" w:type="dxa"/>
            </w:tcMar>
            <w:vAlign w:val="center"/>
          </w:tcPr>
          <w:p w14:paraId="1DCFF8AF">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监控硬盘</w:t>
            </w:r>
          </w:p>
        </w:tc>
        <w:tc>
          <w:tcPr>
            <w:tcW w:w="2115" w:type="dxa"/>
            <w:tcMar>
              <w:top w:w="60" w:type="dxa"/>
              <w:left w:w="120" w:type="dxa"/>
              <w:bottom w:w="30" w:type="dxa"/>
              <w:right w:w="120" w:type="dxa"/>
            </w:tcMar>
            <w:vAlign w:val="center"/>
          </w:tcPr>
          <w:p w14:paraId="4719835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希捷16TB</w:t>
            </w:r>
          </w:p>
        </w:tc>
        <w:tc>
          <w:tcPr>
            <w:tcW w:w="855" w:type="dxa"/>
            <w:tcMar>
              <w:top w:w="60" w:type="dxa"/>
              <w:left w:w="120" w:type="dxa"/>
              <w:bottom w:w="30" w:type="dxa"/>
              <w:right w:w="120" w:type="dxa"/>
            </w:tcMar>
            <w:vAlign w:val="center"/>
          </w:tcPr>
          <w:p w14:paraId="76F33290">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块</w:t>
            </w:r>
          </w:p>
        </w:tc>
        <w:tc>
          <w:tcPr>
            <w:tcW w:w="840" w:type="dxa"/>
            <w:tcMar>
              <w:top w:w="60" w:type="dxa"/>
              <w:left w:w="120" w:type="dxa"/>
              <w:bottom w:w="30" w:type="dxa"/>
              <w:right w:w="120" w:type="dxa"/>
            </w:tcMar>
            <w:vAlign w:val="center"/>
          </w:tcPr>
          <w:p w14:paraId="6CC0E95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16</w:t>
            </w:r>
          </w:p>
        </w:tc>
        <w:tc>
          <w:tcPr>
            <w:tcW w:w="3724" w:type="dxa"/>
            <w:tcMar>
              <w:top w:w="60" w:type="dxa"/>
              <w:left w:w="120" w:type="dxa"/>
              <w:bottom w:w="30" w:type="dxa"/>
              <w:right w:w="120" w:type="dxa"/>
            </w:tcMar>
            <w:vAlign w:val="center"/>
          </w:tcPr>
          <w:p w14:paraId="4E30815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监控级硬盘，满足90天视频存储，7×24h运行</w:t>
            </w:r>
          </w:p>
        </w:tc>
      </w:tr>
      <w:tr w14:paraId="58E84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110FDC5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9</w:t>
            </w:r>
          </w:p>
        </w:tc>
        <w:tc>
          <w:tcPr>
            <w:tcW w:w="1545" w:type="dxa"/>
            <w:tcMar>
              <w:top w:w="60" w:type="dxa"/>
              <w:left w:w="120" w:type="dxa"/>
              <w:bottom w:w="30" w:type="dxa"/>
              <w:right w:w="120" w:type="dxa"/>
            </w:tcMar>
            <w:vAlign w:val="center"/>
          </w:tcPr>
          <w:p w14:paraId="7D00E8D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网络录像机NVR</w:t>
            </w:r>
          </w:p>
        </w:tc>
        <w:tc>
          <w:tcPr>
            <w:tcW w:w="2115" w:type="dxa"/>
            <w:tcMar>
              <w:top w:w="60" w:type="dxa"/>
              <w:left w:w="120" w:type="dxa"/>
              <w:bottom w:w="30" w:type="dxa"/>
              <w:right w:w="120" w:type="dxa"/>
            </w:tcMar>
            <w:vAlign w:val="center"/>
          </w:tcPr>
          <w:p w14:paraId="6261EE6B">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DH-NVR5832-4KS2</w:t>
            </w:r>
          </w:p>
        </w:tc>
        <w:tc>
          <w:tcPr>
            <w:tcW w:w="855" w:type="dxa"/>
            <w:tcMar>
              <w:top w:w="60" w:type="dxa"/>
              <w:left w:w="120" w:type="dxa"/>
              <w:bottom w:w="30" w:type="dxa"/>
              <w:right w:w="120" w:type="dxa"/>
            </w:tcMar>
            <w:vAlign w:val="center"/>
          </w:tcPr>
          <w:p w14:paraId="3654E68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696E6CE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4548B55B">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32路接入、4K解码、AI事件存储、报警联动</w:t>
            </w:r>
          </w:p>
        </w:tc>
      </w:tr>
      <w:tr w14:paraId="3D156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2992832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10</w:t>
            </w:r>
          </w:p>
        </w:tc>
        <w:tc>
          <w:tcPr>
            <w:tcW w:w="1545" w:type="dxa"/>
            <w:tcMar>
              <w:top w:w="60" w:type="dxa"/>
              <w:left w:w="120" w:type="dxa"/>
              <w:bottom w:w="30" w:type="dxa"/>
              <w:right w:w="120" w:type="dxa"/>
            </w:tcMar>
            <w:vAlign w:val="center"/>
          </w:tcPr>
          <w:p w14:paraId="6E6E8E8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千兆POE交换机</w:t>
            </w:r>
          </w:p>
        </w:tc>
        <w:tc>
          <w:tcPr>
            <w:tcW w:w="2115" w:type="dxa"/>
            <w:tcMar>
              <w:top w:w="60" w:type="dxa"/>
              <w:left w:w="120" w:type="dxa"/>
              <w:bottom w:w="30" w:type="dxa"/>
              <w:right w:w="120" w:type="dxa"/>
            </w:tcMar>
            <w:vAlign w:val="center"/>
          </w:tcPr>
          <w:p w14:paraId="428F980D">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DH-S3000C-24GT4SFP</w:t>
            </w:r>
          </w:p>
        </w:tc>
        <w:tc>
          <w:tcPr>
            <w:tcW w:w="855" w:type="dxa"/>
            <w:tcMar>
              <w:top w:w="60" w:type="dxa"/>
              <w:left w:w="120" w:type="dxa"/>
              <w:bottom w:w="30" w:type="dxa"/>
              <w:right w:w="120" w:type="dxa"/>
            </w:tcMar>
            <w:vAlign w:val="center"/>
          </w:tcPr>
          <w:p w14:paraId="0937700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0F1310B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4230E2C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24口千兆POE、VLAN、防雷、链路冗余</w:t>
            </w:r>
          </w:p>
        </w:tc>
      </w:tr>
      <w:tr w14:paraId="700B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581C0EC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11</w:t>
            </w:r>
          </w:p>
        </w:tc>
        <w:tc>
          <w:tcPr>
            <w:tcW w:w="1545" w:type="dxa"/>
            <w:tcMar>
              <w:top w:w="60" w:type="dxa"/>
              <w:left w:w="120" w:type="dxa"/>
              <w:bottom w:w="30" w:type="dxa"/>
              <w:right w:w="120" w:type="dxa"/>
            </w:tcMar>
            <w:vAlign w:val="center"/>
          </w:tcPr>
          <w:p w14:paraId="4688A293">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UPS不间断电源</w:t>
            </w:r>
          </w:p>
        </w:tc>
        <w:tc>
          <w:tcPr>
            <w:tcW w:w="2115" w:type="dxa"/>
            <w:tcMar>
              <w:top w:w="60" w:type="dxa"/>
              <w:left w:w="120" w:type="dxa"/>
              <w:bottom w:w="30" w:type="dxa"/>
              <w:right w:w="120" w:type="dxa"/>
            </w:tcMar>
            <w:vAlign w:val="center"/>
          </w:tcPr>
          <w:p w14:paraId="4BCBE435">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配套机型</w:t>
            </w:r>
          </w:p>
        </w:tc>
        <w:tc>
          <w:tcPr>
            <w:tcW w:w="855" w:type="dxa"/>
            <w:tcMar>
              <w:top w:w="60" w:type="dxa"/>
              <w:left w:w="120" w:type="dxa"/>
              <w:bottom w:w="30" w:type="dxa"/>
              <w:right w:w="120" w:type="dxa"/>
            </w:tcMar>
            <w:vAlign w:val="center"/>
          </w:tcPr>
          <w:p w14:paraId="2C9CC62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337281E5">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3A5BD517">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核心设备集中供电，续航≥2小时</w:t>
            </w:r>
          </w:p>
        </w:tc>
      </w:tr>
      <w:tr w14:paraId="61AC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65D037E2">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12</w:t>
            </w:r>
          </w:p>
        </w:tc>
        <w:tc>
          <w:tcPr>
            <w:tcW w:w="1545" w:type="dxa"/>
            <w:tcMar>
              <w:top w:w="60" w:type="dxa"/>
              <w:left w:w="120" w:type="dxa"/>
              <w:bottom w:w="30" w:type="dxa"/>
              <w:right w:w="120" w:type="dxa"/>
            </w:tcMar>
            <w:vAlign w:val="center"/>
          </w:tcPr>
          <w:p w14:paraId="479E3C42">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网络/电源防雷器</w:t>
            </w:r>
          </w:p>
        </w:tc>
        <w:tc>
          <w:tcPr>
            <w:tcW w:w="2115" w:type="dxa"/>
            <w:tcMar>
              <w:top w:w="60" w:type="dxa"/>
              <w:left w:w="120" w:type="dxa"/>
              <w:bottom w:w="30" w:type="dxa"/>
              <w:right w:w="120" w:type="dxa"/>
            </w:tcMar>
            <w:vAlign w:val="center"/>
          </w:tcPr>
          <w:p w14:paraId="7B1957D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适配对应点位</w:t>
            </w:r>
          </w:p>
        </w:tc>
        <w:tc>
          <w:tcPr>
            <w:tcW w:w="855" w:type="dxa"/>
            <w:tcMar>
              <w:top w:w="60" w:type="dxa"/>
              <w:left w:w="120" w:type="dxa"/>
              <w:bottom w:w="30" w:type="dxa"/>
              <w:right w:w="120" w:type="dxa"/>
            </w:tcMar>
            <w:vAlign w:val="center"/>
          </w:tcPr>
          <w:p w14:paraId="73526E0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批</w:t>
            </w:r>
          </w:p>
        </w:tc>
        <w:tc>
          <w:tcPr>
            <w:tcW w:w="840" w:type="dxa"/>
            <w:tcMar>
              <w:top w:w="60" w:type="dxa"/>
              <w:left w:w="120" w:type="dxa"/>
              <w:bottom w:w="30" w:type="dxa"/>
              <w:right w:w="120" w:type="dxa"/>
            </w:tcMar>
            <w:vAlign w:val="center"/>
          </w:tcPr>
          <w:p w14:paraId="0959819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37622F76">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全线点位防雷保护，符合防雷规范</w:t>
            </w:r>
          </w:p>
        </w:tc>
      </w:tr>
      <w:tr w14:paraId="3796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46964DF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13</w:t>
            </w:r>
          </w:p>
        </w:tc>
        <w:tc>
          <w:tcPr>
            <w:tcW w:w="1545" w:type="dxa"/>
            <w:tcMar>
              <w:top w:w="60" w:type="dxa"/>
              <w:left w:w="120" w:type="dxa"/>
              <w:bottom w:w="30" w:type="dxa"/>
              <w:right w:w="120" w:type="dxa"/>
            </w:tcMar>
            <w:vAlign w:val="center"/>
          </w:tcPr>
          <w:p w14:paraId="4014BFB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防爆电源适配器</w:t>
            </w:r>
          </w:p>
        </w:tc>
        <w:tc>
          <w:tcPr>
            <w:tcW w:w="2115" w:type="dxa"/>
            <w:tcMar>
              <w:top w:w="60" w:type="dxa"/>
              <w:left w:w="120" w:type="dxa"/>
              <w:bottom w:w="30" w:type="dxa"/>
              <w:right w:w="120" w:type="dxa"/>
            </w:tcMar>
            <w:vAlign w:val="center"/>
          </w:tcPr>
          <w:p w14:paraId="7E9FB1D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防爆专用</w:t>
            </w:r>
          </w:p>
        </w:tc>
        <w:tc>
          <w:tcPr>
            <w:tcW w:w="855" w:type="dxa"/>
            <w:tcMar>
              <w:top w:w="60" w:type="dxa"/>
              <w:left w:w="120" w:type="dxa"/>
              <w:bottom w:w="30" w:type="dxa"/>
              <w:right w:w="120" w:type="dxa"/>
            </w:tcMar>
            <w:vAlign w:val="center"/>
          </w:tcPr>
          <w:p w14:paraId="15D8812A">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批</w:t>
            </w:r>
          </w:p>
        </w:tc>
        <w:tc>
          <w:tcPr>
            <w:tcW w:w="840" w:type="dxa"/>
            <w:tcMar>
              <w:top w:w="60" w:type="dxa"/>
              <w:left w:w="120" w:type="dxa"/>
              <w:bottom w:w="30" w:type="dxa"/>
              <w:right w:w="120" w:type="dxa"/>
            </w:tcMar>
            <w:vAlign w:val="center"/>
          </w:tcPr>
          <w:p w14:paraId="5FC39B8A">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6E3D410B">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防爆区域设备专用供电</w:t>
            </w:r>
          </w:p>
        </w:tc>
      </w:tr>
      <w:tr w14:paraId="53A7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 w:hRule="atLeast"/>
          <w:jc w:val="center"/>
        </w:trPr>
        <w:tc>
          <w:tcPr>
            <w:tcW w:w="894" w:type="dxa"/>
            <w:tcMar>
              <w:top w:w="60" w:type="dxa"/>
              <w:left w:w="120" w:type="dxa"/>
              <w:bottom w:w="30" w:type="dxa"/>
              <w:right w:w="120" w:type="dxa"/>
            </w:tcMar>
            <w:vAlign w:val="center"/>
          </w:tcPr>
          <w:p w14:paraId="54603BB1">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14</w:t>
            </w:r>
          </w:p>
        </w:tc>
        <w:tc>
          <w:tcPr>
            <w:tcW w:w="1545" w:type="dxa"/>
            <w:tcMar>
              <w:top w:w="60" w:type="dxa"/>
              <w:left w:w="120" w:type="dxa"/>
              <w:bottom w:w="30" w:type="dxa"/>
              <w:right w:w="120" w:type="dxa"/>
            </w:tcMar>
            <w:vAlign w:val="center"/>
          </w:tcPr>
          <w:p w14:paraId="39563C6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管线及全套辅材</w:t>
            </w:r>
          </w:p>
        </w:tc>
        <w:tc>
          <w:tcPr>
            <w:tcW w:w="2115" w:type="dxa"/>
            <w:tcMar>
              <w:top w:w="60" w:type="dxa"/>
              <w:left w:w="120" w:type="dxa"/>
              <w:bottom w:w="30" w:type="dxa"/>
              <w:right w:w="120" w:type="dxa"/>
            </w:tcMar>
            <w:vAlign w:val="center"/>
          </w:tcPr>
          <w:p w14:paraId="04EDF55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国标镀锌管/桥架</w:t>
            </w:r>
            <w:r>
              <w:rPr>
                <w:rFonts w:hint="eastAsia" w:ascii="仿宋" w:hAnsi="仿宋" w:eastAsia="仿宋" w:cs="仿宋"/>
                <w:sz w:val="28"/>
                <w:szCs w:val="28"/>
                <w:lang w:val="en-US" w:eastAsia="zh-CN"/>
              </w:rPr>
              <w:t>/电源箱、</w:t>
            </w:r>
            <w:r>
              <w:rPr>
                <w:rFonts w:hint="eastAsia" w:ascii="仿宋" w:hAnsi="仿宋" w:eastAsia="仿宋" w:cs="仿宋"/>
                <w:sz w:val="28"/>
                <w:szCs w:val="28"/>
              </w:rPr>
              <w:t>等</w:t>
            </w:r>
          </w:p>
        </w:tc>
        <w:tc>
          <w:tcPr>
            <w:tcW w:w="855" w:type="dxa"/>
            <w:tcMar>
              <w:top w:w="60" w:type="dxa"/>
              <w:left w:w="120" w:type="dxa"/>
              <w:bottom w:w="30" w:type="dxa"/>
              <w:right w:w="120" w:type="dxa"/>
            </w:tcMar>
            <w:vAlign w:val="center"/>
          </w:tcPr>
          <w:p w14:paraId="5E550475">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批</w:t>
            </w:r>
          </w:p>
        </w:tc>
        <w:tc>
          <w:tcPr>
            <w:tcW w:w="840" w:type="dxa"/>
            <w:tcMar>
              <w:top w:w="60" w:type="dxa"/>
              <w:left w:w="120" w:type="dxa"/>
              <w:bottom w:w="30" w:type="dxa"/>
              <w:right w:w="120" w:type="dxa"/>
            </w:tcMar>
            <w:vAlign w:val="center"/>
          </w:tcPr>
          <w:p w14:paraId="2501D719">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724" w:type="dxa"/>
            <w:tcMar>
              <w:top w:w="60" w:type="dxa"/>
              <w:left w:w="120" w:type="dxa"/>
              <w:bottom w:w="30" w:type="dxa"/>
              <w:right w:w="120" w:type="dxa"/>
            </w:tcMar>
            <w:vAlign w:val="center"/>
          </w:tcPr>
          <w:p w14:paraId="22FAD6D5">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含安装配件、标识、防水构件</w:t>
            </w:r>
          </w:p>
        </w:tc>
      </w:tr>
      <w:tr w14:paraId="05A3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39" w:hRule="atLeast"/>
          <w:jc w:val="center"/>
        </w:trPr>
        <w:tc>
          <w:tcPr>
            <w:tcW w:w="894" w:type="dxa"/>
            <w:tcMar>
              <w:top w:w="60" w:type="dxa"/>
              <w:left w:w="120" w:type="dxa"/>
              <w:bottom w:w="30" w:type="dxa"/>
              <w:right w:w="120" w:type="dxa"/>
            </w:tcMar>
            <w:vAlign w:val="center"/>
          </w:tcPr>
          <w:p w14:paraId="0A04D0AF">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15</w:t>
            </w:r>
          </w:p>
        </w:tc>
        <w:tc>
          <w:tcPr>
            <w:tcW w:w="1545" w:type="dxa"/>
            <w:tcMar>
              <w:top w:w="60" w:type="dxa"/>
              <w:left w:w="120" w:type="dxa"/>
              <w:bottom w:w="30" w:type="dxa"/>
              <w:right w:w="120" w:type="dxa"/>
            </w:tcMar>
            <w:vAlign w:val="center"/>
          </w:tcPr>
          <w:p w14:paraId="41A1734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千兆POE交换机</w:t>
            </w:r>
          </w:p>
        </w:tc>
        <w:tc>
          <w:tcPr>
            <w:tcW w:w="2115" w:type="dxa"/>
            <w:tcMar>
              <w:top w:w="60" w:type="dxa"/>
              <w:left w:w="120" w:type="dxa"/>
              <w:bottom w:w="30" w:type="dxa"/>
              <w:right w:w="120" w:type="dxa"/>
            </w:tcMar>
            <w:vAlign w:val="center"/>
          </w:tcPr>
          <w:p w14:paraId="72243AB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H-S3000C-24GT4SFP</w:t>
            </w:r>
          </w:p>
        </w:tc>
        <w:tc>
          <w:tcPr>
            <w:tcW w:w="855" w:type="dxa"/>
            <w:tcMar>
              <w:top w:w="60" w:type="dxa"/>
              <w:left w:w="120" w:type="dxa"/>
              <w:bottom w:w="30" w:type="dxa"/>
              <w:right w:w="120" w:type="dxa"/>
            </w:tcMar>
            <w:vAlign w:val="center"/>
          </w:tcPr>
          <w:p w14:paraId="1D788B27">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rPr>
              <w:t>套</w:t>
            </w:r>
          </w:p>
        </w:tc>
        <w:tc>
          <w:tcPr>
            <w:tcW w:w="840" w:type="dxa"/>
            <w:tcMar>
              <w:top w:w="60" w:type="dxa"/>
              <w:left w:w="120" w:type="dxa"/>
              <w:bottom w:w="30" w:type="dxa"/>
              <w:right w:w="120" w:type="dxa"/>
            </w:tcMar>
            <w:vAlign w:val="center"/>
          </w:tcPr>
          <w:p w14:paraId="2DCB8CC2">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w:t>
            </w:r>
          </w:p>
        </w:tc>
        <w:tc>
          <w:tcPr>
            <w:tcW w:w="3724" w:type="dxa"/>
            <w:tcMar>
              <w:top w:w="60" w:type="dxa"/>
              <w:left w:w="120" w:type="dxa"/>
              <w:bottom w:w="30" w:type="dxa"/>
              <w:right w:w="120" w:type="dxa"/>
            </w:tcMar>
            <w:vAlign w:val="center"/>
          </w:tcPr>
          <w:p w14:paraId="1CF35A2D">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16</w:t>
            </w:r>
            <w:r>
              <w:rPr>
                <w:rFonts w:hint="eastAsia" w:ascii="仿宋" w:hAnsi="仿宋" w:eastAsia="仿宋" w:cs="仿宋"/>
                <w:sz w:val="28"/>
                <w:szCs w:val="28"/>
              </w:rPr>
              <w:t>口千兆POE、防雷、链路冗余</w:t>
            </w:r>
          </w:p>
        </w:tc>
      </w:tr>
      <w:tr w14:paraId="272F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39" w:hRule="atLeast"/>
          <w:jc w:val="center"/>
        </w:trPr>
        <w:tc>
          <w:tcPr>
            <w:tcW w:w="894" w:type="dxa"/>
            <w:tcMar>
              <w:top w:w="60" w:type="dxa"/>
              <w:left w:w="120" w:type="dxa"/>
              <w:bottom w:w="30" w:type="dxa"/>
              <w:right w:w="120" w:type="dxa"/>
            </w:tcMar>
            <w:vAlign w:val="center"/>
          </w:tcPr>
          <w:p w14:paraId="769DF1B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16</w:t>
            </w:r>
          </w:p>
        </w:tc>
        <w:tc>
          <w:tcPr>
            <w:tcW w:w="1545" w:type="dxa"/>
            <w:tcMar>
              <w:top w:w="60" w:type="dxa"/>
              <w:left w:w="120" w:type="dxa"/>
              <w:bottom w:w="30" w:type="dxa"/>
              <w:right w:w="120" w:type="dxa"/>
            </w:tcMar>
            <w:vAlign w:val="center"/>
          </w:tcPr>
          <w:p w14:paraId="2029F18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LED彩屏</w:t>
            </w:r>
          </w:p>
        </w:tc>
        <w:tc>
          <w:tcPr>
            <w:tcW w:w="2115" w:type="dxa"/>
            <w:tcMar>
              <w:top w:w="60" w:type="dxa"/>
              <w:left w:w="120" w:type="dxa"/>
              <w:bottom w:w="30" w:type="dxa"/>
              <w:right w:w="120" w:type="dxa"/>
            </w:tcMar>
            <w:vAlign w:val="center"/>
          </w:tcPr>
          <w:p w14:paraId="45A2842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P1.25</w:t>
            </w:r>
          </w:p>
        </w:tc>
        <w:tc>
          <w:tcPr>
            <w:tcW w:w="855" w:type="dxa"/>
            <w:tcMar>
              <w:top w:w="60" w:type="dxa"/>
              <w:left w:w="120" w:type="dxa"/>
              <w:bottom w:w="30" w:type="dxa"/>
              <w:right w:w="120" w:type="dxa"/>
            </w:tcMar>
            <w:vAlign w:val="center"/>
          </w:tcPr>
          <w:p w14:paraId="32F34267">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套</w:t>
            </w:r>
          </w:p>
        </w:tc>
        <w:tc>
          <w:tcPr>
            <w:tcW w:w="840" w:type="dxa"/>
            <w:tcMar>
              <w:top w:w="60" w:type="dxa"/>
              <w:left w:w="120" w:type="dxa"/>
              <w:bottom w:w="30" w:type="dxa"/>
              <w:right w:w="120" w:type="dxa"/>
            </w:tcMar>
            <w:vAlign w:val="center"/>
          </w:tcPr>
          <w:p w14:paraId="7EF73632">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3724" w:type="dxa"/>
            <w:tcMar>
              <w:top w:w="60" w:type="dxa"/>
              <w:left w:w="120" w:type="dxa"/>
              <w:bottom w:w="30" w:type="dxa"/>
              <w:right w:w="120" w:type="dxa"/>
            </w:tcMar>
            <w:vAlign w:val="center"/>
          </w:tcPr>
          <w:p w14:paraId="4EAF14D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电源，控制板，电源线，吸铁，根据屏幕尺寸及技术要求配置，外置音箱一套</w:t>
            </w:r>
          </w:p>
        </w:tc>
      </w:tr>
      <w:tr w14:paraId="02651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39" w:hRule="atLeast"/>
          <w:jc w:val="center"/>
        </w:trPr>
        <w:tc>
          <w:tcPr>
            <w:tcW w:w="894" w:type="dxa"/>
            <w:tcMar>
              <w:top w:w="60" w:type="dxa"/>
              <w:left w:w="120" w:type="dxa"/>
              <w:bottom w:w="30" w:type="dxa"/>
              <w:right w:w="120" w:type="dxa"/>
            </w:tcMar>
            <w:vAlign w:val="center"/>
          </w:tcPr>
          <w:p w14:paraId="5F6F82BE">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17</w:t>
            </w:r>
          </w:p>
        </w:tc>
        <w:tc>
          <w:tcPr>
            <w:tcW w:w="1545" w:type="dxa"/>
            <w:tcMar>
              <w:top w:w="60" w:type="dxa"/>
              <w:left w:w="120" w:type="dxa"/>
              <w:bottom w:w="30" w:type="dxa"/>
              <w:right w:w="120" w:type="dxa"/>
            </w:tcMar>
            <w:vAlign w:val="center"/>
          </w:tcPr>
          <w:p w14:paraId="3F082630">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台式电脑</w:t>
            </w:r>
          </w:p>
        </w:tc>
        <w:tc>
          <w:tcPr>
            <w:tcW w:w="2115" w:type="dxa"/>
            <w:tcMar>
              <w:top w:w="60" w:type="dxa"/>
              <w:left w:w="120" w:type="dxa"/>
              <w:bottom w:w="30" w:type="dxa"/>
              <w:right w:w="120" w:type="dxa"/>
            </w:tcMar>
            <w:vAlign w:val="center"/>
          </w:tcPr>
          <w:p w14:paraId="35B78E1C">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联想</w:t>
            </w:r>
          </w:p>
        </w:tc>
        <w:tc>
          <w:tcPr>
            <w:tcW w:w="855" w:type="dxa"/>
            <w:tcMar>
              <w:top w:w="60" w:type="dxa"/>
              <w:left w:w="120" w:type="dxa"/>
              <w:bottom w:w="30" w:type="dxa"/>
              <w:right w:w="120" w:type="dxa"/>
            </w:tcMar>
            <w:vAlign w:val="center"/>
          </w:tcPr>
          <w:p w14:paraId="75E85034">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套</w:t>
            </w:r>
          </w:p>
        </w:tc>
        <w:tc>
          <w:tcPr>
            <w:tcW w:w="840" w:type="dxa"/>
            <w:tcMar>
              <w:top w:w="60" w:type="dxa"/>
              <w:left w:w="120" w:type="dxa"/>
              <w:bottom w:w="30" w:type="dxa"/>
              <w:right w:w="120" w:type="dxa"/>
            </w:tcMar>
            <w:vAlign w:val="center"/>
          </w:tcPr>
          <w:p w14:paraId="32602138">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3724" w:type="dxa"/>
            <w:tcMar>
              <w:top w:w="60" w:type="dxa"/>
              <w:left w:w="120" w:type="dxa"/>
              <w:bottom w:w="30" w:type="dxa"/>
              <w:right w:w="120" w:type="dxa"/>
            </w:tcMar>
            <w:vAlign w:val="center"/>
          </w:tcPr>
          <w:p w14:paraId="2BDFF259">
            <w:pPr>
              <w:keepNext w:val="0"/>
              <w:keepLines w:val="0"/>
              <w:pageBreakBefore w:val="0"/>
              <w:widowControl w:val="0"/>
              <w:kinsoku/>
              <w:wordWrap/>
              <w:overflowPunct/>
              <w:topLinePunct w:val="0"/>
              <w:autoSpaceDE/>
              <w:autoSpaceDN/>
              <w:bidi w:val="0"/>
              <w:adjustRightInd/>
              <w:snapToGrid/>
              <w:spacing w:before="120" w:after="120" w:line="460" w:lineRule="exact"/>
              <w:ind w:left="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CPUinterni714600KF（14核20线程）主板：微星B760M迫击炮WLFiD5显卡:RT*5070 12GB(影驰彩虹）内存：金百达银爵DDR56000C30 16G*2 固态：致态TiPLUS7100ZTB PCLE4.0 散热：利民PA120SE双塔风冷 电源：长城G7850W金牌全模组AT*3.0 机箱：先马朱雀AIR中塔 显示器：HKCMG32A2Q2 32寸 zk180H2 HVA曲面</w:t>
            </w:r>
          </w:p>
        </w:tc>
      </w:tr>
    </w:tbl>
    <w:p w14:paraId="06B38E3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备注：上表型号为参考型号，乙方可提供同等技术参数、同等品质的一线品牌产品，所有替代产品需经甲方书面确认后方可使用。</w:t>
      </w:r>
    </w:p>
    <w:p w14:paraId="06BECBBE">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45" w:name="heading_32"/>
      <w:bookmarkStart w:id="46" w:name="_Toc17095"/>
      <w:r>
        <w:rPr>
          <w:rFonts w:hint="eastAsia" w:ascii="仿宋" w:hAnsi="仿宋" w:eastAsia="仿宋" w:cs="仿宋"/>
          <w:b/>
          <w:sz w:val="36"/>
          <w:szCs w:val="36"/>
          <w:lang w:val="en-US" w:eastAsia="zh-CN"/>
        </w:rPr>
        <w:t>五、设计与安装施工要求</w:t>
      </w:r>
      <w:bookmarkEnd w:id="45"/>
      <w:bookmarkEnd w:id="46"/>
    </w:p>
    <w:p w14:paraId="7F8BC53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val="en-US" w:eastAsia="zh-CN"/>
        </w:rPr>
      </w:pPr>
      <w:bookmarkStart w:id="47" w:name="heading_33"/>
      <w:r>
        <w:rPr>
          <w:rFonts w:hint="eastAsia" w:ascii="仿宋" w:hAnsi="仿宋" w:eastAsia="仿宋" w:cs="仿宋"/>
          <w:b/>
          <w:bCs/>
          <w:sz w:val="32"/>
          <w:szCs w:val="32"/>
          <w:lang w:val="en-US" w:eastAsia="zh-CN"/>
        </w:rPr>
        <w:t>（一）设计要求</w:t>
      </w:r>
      <w:bookmarkEnd w:id="47"/>
    </w:p>
    <w:p w14:paraId="75BD2D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1.乙方结合甲方厂区平面图及现场实地勘查，出具完整设计文件，包含：监控点位图、广播点位图、线路走向图、设备安装示意图、系统拓扑图。</w:t>
      </w:r>
    </w:p>
    <w:p w14:paraId="4BAC8E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2.设计方案保证监控无盲区、广播声场覆盖均匀，设备布局</w:t>
      </w:r>
    </w:p>
    <w:p w14:paraId="7AED3AF9">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合理，兼顾后期运维、检修与系统扩容。</w:t>
      </w:r>
    </w:p>
    <w:p w14:paraId="073F316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val="en-US" w:eastAsia="zh-CN"/>
        </w:rPr>
      </w:pPr>
      <w:bookmarkStart w:id="48" w:name="heading_34"/>
      <w:r>
        <w:rPr>
          <w:rFonts w:hint="eastAsia" w:ascii="仿宋" w:hAnsi="仿宋" w:eastAsia="仿宋" w:cs="仿宋"/>
          <w:b/>
          <w:bCs/>
          <w:sz w:val="32"/>
          <w:szCs w:val="32"/>
          <w:lang w:val="en-US" w:eastAsia="zh-CN"/>
        </w:rPr>
        <w:t>（二）安装施工要求</w:t>
      </w:r>
      <w:bookmarkEnd w:id="48"/>
    </w:p>
    <w:p w14:paraId="56DDB6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1.乙方负责全部设备运输、卸货、就位、安装、接线、调试工作，施工严格遵循国家规范及本协议约定。</w:t>
      </w:r>
    </w:p>
    <w:p w14:paraId="544395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2.摄像机安装高度：户外机位≥4.5m，车间内机位≥5m；设备安装牢固，水平偏差≤±1°。</w:t>
      </w:r>
    </w:p>
    <w:p w14:paraId="4BF046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3.线路敷设：网线与电源线分开布设，规避电磁干扰；室内外线路采用桥架或金属管穿管保护，防腐防老化，线路排布整齐、标识清晰。</w:t>
      </w:r>
    </w:p>
    <w:p w14:paraId="23037C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4.播喇叭安装牢固，运行无共振噪音，保证声场覆盖均匀。</w:t>
      </w:r>
    </w:p>
    <w:p w14:paraId="782A88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5.全系统电气设备可靠接地，接地电阻≤4Ω，满足防雷、防漏电要求。</w:t>
      </w:r>
    </w:p>
    <w:p w14:paraId="5435737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6.防爆区域施工严格按照防爆规范执行，严禁违规布线、接线。</w:t>
      </w:r>
    </w:p>
    <w:p w14:paraId="622FB80F">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49" w:name="_Toc17985"/>
      <w:bookmarkStart w:id="50" w:name="heading_35"/>
      <w:r>
        <w:rPr>
          <w:rFonts w:hint="eastAsia" w:ascii="仿宋" w:hAnsi="仿宋" w:eastAsia="仿宋" w:cs="仿宋"/>
          <w:b/>
          <w:sz w:val="36"/>
          <w:szCs w:val="36"/>
          <w:lang w:val="en-US" w:eastAsia="zh-CN"/>
        </w:rPr>
        <w:t>六、系统调试与竣工验收</w:t>
      </w:r>
      <w:bookmarkEnd w:id="49"/>
      <w:bookmarkEnd w:id="50"/>
    </w:p>
    <w:p w14:paraId="60EE959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val="en-US" w:eastAsia="zh-CN"/>
        </w:rPr>
      </w:pPr>
      <w:bookmarkStart w:id="51" w:name="heading_36"/>
      <w:r>
        <w:rPr>
          <w:rFonts w:hint="eastAsia" w:ascii="仿宋" w:hAnsi="仿宋" w:eastAsia="仿宋" w:cs="仿宋"/>
          <w:b/>
          <w:bCs/>
          <w:sz w:val="32"/>
          <w:szCs w:val="32"/>
          <w:lang w:val="en-US" w:eastAsia="zh-CN"/>
        </w:rPr>
        <w:t>（一）系统调试</w:t>
      </w:r>
      <w:bookmarkEnd w:id="51"/>
    </w:p>
    <w:p w14:paraId="68C60E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1.设备安装完成后，乙方开展全系统调试，包含硬件通电、软件配置、网络连通、视频采集、录像存储、智能识别、语音对讲、广播播放、消防联动、远程访问等全功能测试。</w:t>
      </w:r>
    </w:p>
    <w:p w14:paraId="34A57A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2.调试期间及时整改故障与功能缺陷，所有指标达标后方可申请验收。</w:t>
      </w:r>
    </w:p>
    <w:p w14:paraId="5C3403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3调试完成后，乙方向甲方提交正式《系统调试报告》，附完整测试数据。</w:t>
      </w:r>
    </w:p>
    <w:p w14:paraId="547C5F0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val="en-US" w:eastAsia="zh-CN"/>
        </w:rPr>
      </w:pPr>
      <w:bookmarkStart w:id="52" w:name="heading_37"/>
      <w:r>
        <w:rPr>
          <w:rFonts w:hint="eastAsia" w:ascii="仿宋" w:hAnsi="仿宋" w:eastAsia="仿宋" w:cs="仿宋"/>
          <w:b/>
          <w:bCs/>
          <w:sz w:val="32"/>
          <w:szCs w:val="32"/>
          <w:lang w:val="en-US" w:eastAsia="zh-CN"/>
        </w:rPr>
        <w:t>（二）竣工验收</w:t>
      </w:r>
      <w:bookmarkEnd w:id="52"/>
    </w:p>
    <w:p w14:paraId="0C6FCC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1.验收依据：本技术协议、商务合同、设计方案、国家现行标准。</w:t>
      </w:r>
    </w:p>
    <w:p w14:paraId="2067F0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2.验收流程</w:t>
      </w:r>
      <w:r>
        <w:rPr>
          <w:rFonts w:hint="eastAsia" w:ascii="仿宋" w:hAnsi="仿宋" w:eastAsia="仿宋" w:cs="仿宋"/>
          <w:sz w:val="32"/>
          <w:szCs w:val="32"/>
          <w:lang w:eastAsia="zh-CN"/>
        </w:rPr>
        <w:t>：</w:t>
      </w:r>
      <w:r>
        <w:rPr>
          <w:rFonts w:hint="eastAsia" w:ascii="仿宋" w:hAnsi="仿宋" w:eastAsia="仿宋" w:cs="仿宋"/>
          <w:sz w:val="32"/>
          <w:szCs w:val="32"/>
        </w:rPr>
        <w:t>乙方完成调试后，向甲方提交验收申请及全套竣工资料；</w:t>
      </w:r>
    </w:p>
    <w:p w14:paraId="404C25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甲方收到申请后7个工作日内组织现场验收，乙方全程配合；</w:t>
      </w:r>
    </w:p>
    <w:p w14:paraId="552D18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验收不合格的，乙方按甲方要求限期整改，整改完成后重新组织验收。</w:t>
      </w:r>
    </w:p>
    <w:p w14:paraId="17A51B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验收内容：设备型号、数量、外观、安装工艺、管线施工、系统全部功能、存储时长、联动效果、远程访问等。</w:t>
      </w:r>
    </w:p>
    <w:p w14:paraId="711C53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甲方有权委托第三方检测机构对设备、系统进行抽检、检测，检测结果作为验收依据。</w:t>
      </w:r>
    </w:p>
    <w:p w14:paraId="56366580">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53" w:name="_Toc19365"/>
      <w:bookmarkStart w:id="54" w:name="heading_38"/>
      <w:r>
        <w:rPr>
          <w:rFonts w:hint="eastAsia" w:ascii="仿宋" w:hAnsi="仿宋" w:eastAsia="仿宋" w:cs="仿宋"/>
          <w:b/>
          <w:sz w:val="36"/>
          <w:szCs w:val="36"/>
          <w:lang w:val="en-US" w:eastAsia="zh-CN"/>
        </w:rPr>
        <w:t>七、技术培训服务</w:t>
      </w:r>
      <w:bookmarkEnd w:id="53"/>
      <w:bookmarkEnd w:id="54"/>
    </w:p>
    <w:p w14:paraId="1860A6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项目竣工验收合格后，乙方提供免费现场技术培训，累计培训时长不少于8小时，培训人数不少于3名甲方操作人员。</w:t>
      </w:r>
    </w:p>
    <w:p w14:paraId="403E4B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培训内容：设备日常操作、参数设置、视频回放与下载、广播操作、基础故障判断与简易维护。</w:t>
      </w:r>
    </w:p>
    <w:p w14:paraId="280742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乙方提供纸质+电子版培训教材，培训现场答疑，确保甲方人员可独立操作系统。</w:t>
      </w:r>
    </w:p>
    <w:p w14:paraId="2BF6BC87">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55" w:name="heading_39"/>
      <w:bookmarkStart w:id="56" w:name="_Toc18863"/>
      <w:r>
        <w:rPr>
          <w:rFonts w:hint="eastAsia" w:ascii="仿宋" w:hAnsi="仿宋" w:eastAsia="仿宋" w:cs="仿宋"/>
          <w:b/>
          <w:sz w:val="36"/>
          <w:szCs w:val="36"/>
          <w:lang w:val="en-US" w:eastAsia="zh-CN"/>
        </w:rPr>
        <w:t>八、售后服务与质量保证</w:t>
      </w:r>
      <w:bookmarkEnd w:id="55"/>
      <w:bookmarkEnd w:id="56"/>
    </w:p>
    <w:p w14:paraId="0697FA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整套系统及所有设备整体质保3年，质保期自项目竣工验收合格当日起计算。人为损坏、外力破坏、自然灾害、不可抗力造成的损坏，不在免费质保范围内。</w:t>
      </w:r>
    </w:p>
    <w:p w14:paraId="7A0ED7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bookmarkStart w:id="57" w:name="heading_41"/>
      <w:r>
        <w:rPr>
          <w:rFonts w:hint="eastAsia" w:ascii="仿宋" w:hAnsi="仿宋" w:eastAsia="仿宋" w:cs="仿宋"/>
          <w:sz w:val="32"/>
          <w:szCs w:val="32"/>
          <w:lang w:val="en-US" w:eastAsia="zh-CN"/>
        </w:rPr>
        <w:t>2.</w:t>
      </w:r>
      <w:r>
        <w:rPr>
          <w:rFonts w:hint="eastAsia" w:ascii="仿宋" w:hAnsi="仿宋" w:eastAsia="仿宋" w:cs="仿宋"/>
          <w:sz w:val="32"/>
          <w:szCs w:val="32"/>
        </w:rPr>
        <w:t>售后响应机制</w:t>
      </w:r>
      <w:bookmarkEnd w:id="57"/>
      <w:r>
        <w:rPr>
          <w:rFonts w:hint="eastAsia" w:ascii="仿宋" w:hAnsi="仿宋" w:eastAsia="仿宋" w:cs="仿宋"/>
          <w:sz w:val="32"/>
          <w:szCs w:val="32"/>
          <w:lang w:eastAsia="zh-CN"/>
        </w:rPr>
        <w:t>：</w:t>
      </w:r>
      <w:r>
        <w:rPr>
          <w:rFonts w:hint="eastAsia" w:ascii="仿宋" w:hAnsi="仿宋" w:eastAsia="仿宋" w:cs="仿宋"/>
          <w:sz w:val="32"/>
          <w:szCs w:val="32"/>
        </w:rPr>
        <w:t>质保期内提供7×24小时全天候技术支持。</w:t>
      </w:r>
    </w:p>
    <w:p w14:paraId="58F33B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障响应：接到甲方报修后2小时内技术响应；市区范围4小时内人员抵达现场，厂区郊区/偏远点位8小时内人员抵达现</w:t>
      </w:r>
      <w:r>
        <w:rPr>
          <w:rFonts w:hint="eastAsia" w:ascii="仿宋" w:hAnsi="仿宋" w:eastAsia="仿宋" w:cs="仿宋"/>
          <w:sz w:val="32"/>
          <w:szCs w:val="32"/>
          <w:lang w:val="en-US" w:eastAsia="zh-CN"/>
        </w:rPr>
        <w:t>场。</w:t>
      </w:r>
    </w:p>
    <w:p w14:paraId="2E52EA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4.故障修复：一般故障24小时内解决，重大故障48小时内处置完毕。</w:t>
      </w:r>
    </w:p>
    <w:p w14:paraId="1C4C87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bookmarkStart w:id="58" w:name="heading_42"/>
      <w:r>
        <w:rPr>
          <w:rFonts w:hint="eastAsia" w:ascii="仿宋" w:hAnsi="仿宋" w:eastAsia="仿宋" w:cs="仿宋"/>
          <w:sz w:val="32"/>
          <w:szCs w:val="32"/>
          <w:lang w:val="en-US" w:eastAsia="zh-CN"/>
        </w:rPr>
        <w:t>5.巡检服务</w:t>
      </w:r>
      <w:bookmarkEnd w:id="58"/>
      <w:r>
        <w:rPr>
          <w:rFonts w:hint="eastAsia" w:ascii="仿宋" w:hAnsi="仿宋" w:eastAsia="仿宋" w:cs="仿宋"/>
          <w:sz w:val="32"/>
          <w:szCs w:val="32"/>
          <w:lang w:val="en-US" w:eastAsia="zh-CN"/>
        </w:rPr>
        <w:t>：质保期内乙方每年提供不少于2次免费上门巡检，排查设备隐患、优化系统运行状态，并出具巡检报告。</w:t>
      </w:r>
    </w:p>
    <w:p w14:paraId="51DB84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bookmarkStart w:id="59" w:name="heading_43"/>
      <w:r>
        <w:rPr>
          <w:rFonts w:hint="eastAsia" w:ascii="仿宋" w:hAnsi="仿宋" w:eastAsia="仿宋" w:cs="仿宋"/>
          <w:sz w:val="32"/>
          <w:szCs w:val="32"/>
          <w:lang w:val="en-US" w:eastAsia="zh-CN"/>
        </w:rPr>
        <w:t>6.质保期满后服务</w:t>
      </w:r>
      <w:bookmarkEnd w:id="59"/>
      <w:r>
        <w:rPr>
          <w:rFonts w:hint="eastAsia" w:ascii="仿宋" w:hAnsi="仿宋" w:eastAsia="仿宋" w:cs="仿宋"/>
          <w:sz w:val="32"/>
          <w:szCs w:val="32"/>
          <w:lang w:val="en-US" w:eastAsia="zh-CN"/>
        </w:rPr>
        <w:t>：质保期结束后，乙方提供终身有偿维护服务，仅收取配件及人工成本价；承诺原厂配套配件长期供应。</w:t>
      </w:r>
    </w:p>
    <w:p w14:paraId="361F7F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bookmarkStart w:id="60" w:name="heading_44"/>
      <w:r>
        <w:rPr>
          <w:rFonts w:hint="eastAsia" w:ascii="仿宋" w:hAnsi="仿宋" w:eastAsia="仿宋" w:cs="仿宋"/>
          <w:sz w:val="32"/>
          <w:szCs w:val="32"/>
          <w:lang w:val="en-US" w:eastAsia="zh-CN"/>
        </w:rPr>
        <w:t>7.售后档案</w:t>
      </w:r>
      <w:bookmarkEnd w:id="60"/>
      <w:r>
        <w:rPr>
          <w:rFonts w:hint="eastAsia" w:ascii="仿宋" w:hAnsi="仿宋" w:eastAsia="仿宋" w:cs="仿宋"/>
          <w:sz w:val="32"/>
          <w:szCs w:val="32"/>
          <w:lang w:val="en-US" w:eastAsia="zh-CN"/>
        </w:rPr>
        <w:t>：乙方建立专属项目售后档案，定期回访系统运行情况，主动提供技术咨询。</w:t>
      </w:r>
    </w:p>
    <w:p w14:paraId="234C2C34">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61" w:name="_Toc11234"/>
      <w:bookmarkStart w:id="62" w:name="heading_45"/>
      <w:r>
        <w:rPr>
          <w:rFonts w:hint="eastAsia" w:ascii="仿宋" w:hAnsi="仿宋" w:eastAsia="仿宋" w:cs="仿宋"/>
          <w:b/>
          <w:sz w:val="36"/>
          <w:szCs w:val="36"/>
          <w:lang w:val="en-US" w:eastAsia="zh-CN"/>
        </w:rPr>
        <w:t>九、技术资料交付要求</w:t>
      </w:r>
      <w:bookmarkEnd w:id="61"/>
      <w:bookmarkEnd w:id="62"/>
    </w:p>
    <w:p w14:paraId="6E369A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项目验收合格后10个工作日内，乙方向甲方交付全套技术资料，格式为纸质版5份+电子版1套，具体内容：</w:t>
      </w:r>
    </w:p>
    <w:p w14:paraId="4DA261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1.全套系统设计图纸、拓扑图、点位及IP地址图、施工图；</w:t>
      </w:r>
    </w:p>
    <w:p w14:paraId="3726A3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2.设备清单、产品合格证、第三方检测报告、防爆认证、原厂说明书；</w:t>
      </w:r>
    </w:p>
    <w:p w14:paraId="30AF0F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3.系统调试报告</w:t>
      </w:r>
    </w:p>
    <w:p w14:paraId="78291B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4.培训教材、系统操作手册</w:t>
      </w:r>
      <w:r>
        <w:rPr>
          <w:rFonts w:hint="eastAsia" w:ascii="仿宋" w:hAnsi="仿宋" w:eastAsia="仿宋" w:cs="仿宋"/>
          <w:sz w:val="32"/>
          <w:szCs w:val="32"/>
        </w:rPr>
        <w:t>。</w:t>
      </w:r>
    </w:p>
    <w:p w14:paraId="2216CC65">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63" w:name="heading_46"/>
      <w:bookmarkStart w:id="64" w:name="_Toc7045"/>
      <w:r>
        <w:rPr>
          <w:rFonts w:hint="eastAsia" w:ascii="仿宋" w:hAnsi="仿宋" w:eastAsia="仿宋" w:cs="仿宋"/>
          <w:b/>
          <w:sz w:val="36"/>
          <w:szCs w:val="36"/>
          <w:lang w:val="en-US" w:eastAsia="zh-CN"/>
        </w:rPr>
        <w:t>十、工期、供货及违约责任</w:t>
      </w:r>
      <w:bookmarkEnd w:id="63"/>
      <w:bookmarkEnd w:id="64"/>
    </w:p>
    <w:p w14:paraId="33C4A7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1.项目总工期：合同签订后45天内完成设备供货、安装、调试并达到验收条件，具体节点由双方在商务合同中确认。</w:t>
      </w:r>
    </w:p>
    <w:p w14:paraId="5CD948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2.乙方交付设备必须为全新原厂未拆封正品，严禁翻新机、返修机、水货。到货时同步附带全套资质文件。</w:t>
      </w:r>
    </w:p>
    <w:p w14:paraId="6E536F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3.若乙方逾期供货、逾期完工，每逾期一日，按合同总金额的0.05%向甲方支付违约金；逾期超过15日，甲方有权单方解除合同并追究损失。</w:t>
      </w:r>
    </w:p>
    <w:p w14:paraId="6FEA71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4.设备、系统经两次整改仍无法达到协议标准，甲方有权要求无条件退货、更换，并由乙方承担由此产生的全部损失。</w:t>
      </w:r>
    </w:p>
    <w:p w14:paraId="3031B455">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65" w:name="_Toc18518"/>
      <w:bookmarkStart w:id="66" w:name="heading_47"/>
      <w:r>
        <w:rPr>
          <w:rFonts w:hint="eastAsia" w:ascii="仿宋" w:hAnsi="仿宋" w:eastAsia="仿宋" w:cs="仿宋"/>
          <w:b/>
          <w:sz w:val="36"/>
          <w:szCs w:val="36"/>
          <w:lang w:val="en-US" w:eastAsia="zh-CN"/>
        </w:rPr>
        <w:t>十一、备品备件与运维保障</w:t>
      </w:r>
      <w:bookmarkEnd w:id="65"/>
      <w:bookmarkEnd w:id="66"/>
    </w:p>
    <w:p w14:paraId="5C004B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1.乙方随项目免费提供一批易损备品备件（电源适配器、网线水晶头、光纤收发器、小型拾音器、喇叭配件等），满足质保期内日常更换需求。</w:t>
      </w:r>
    </w:p>
    <w:p w14:paraId="106C24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2.乙方承诺本项目所用设备原厂配件持续供应不少于5年，保障系统长期运维。</w:t>
      </w:r>
    </w:p>
    <w:p w14:paraId="3707B50F">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67" w:name="_Toc21351"/>
      <w:bookmarkStart w:id="68" w:name="heading_48"/>
      <w:r>
        <w:rPr>
          <w:rFonts w:hint="eastAsia" w:ascii="仿宋" w:hAnsi="仿宋" w:eastAsia="仿宋" w:cs="仿宋"/>
          <w:b/>
          <w:sz w:val="36"/>
          <w:szCs w:val="36"/>
          <w:lang w:val="en-US" w:eastAsia="zh-CN"/>
        </w:rPr>
        <w:t>十二、知识产权、保密与项目变更</w:t>
      </w:r>
      <w:bookmarkEnd w:id="67"/>
      <w:bookmarkEnd w:id="68"/>
    </w:p>
    <w:p w14:paraId="0D5DA7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1.乙方保证本项目设备、软件、系统不存在知识产权侵权，若因侵权引发纠纷，全部责任由乙方承担。</w:t>
      </w:r>
    </w:p>
    <w:p w14:paraId="012F30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2.甲乙双方对本项目技术资料、厂区布局、监控点位、系统参数等涉密信息严格保密，不得向第三方泄露。</w:t>
      </w:r>
    </w:p>
    <w:p w14:paraId="5F8018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3.项目实施过程中，点位、设备、参数如需变更，必须由双方签署书面变更单，变更内容、费用、工期以变更单为准，无书面确认的变更不予认可。</w:t>
      </w:r>
    </w:p>
    <w:p w14:paraId="18008D69">
      <w:pPr>
        <w:keepNext w:val="0"/>
        <w:keepLines w:val="0"/>
        <w:pageBreakBefore w:val="0"/>
        <w:widowControl w:val="0"/>
        <w:kinsoku/>
        <w:wordWrap/>
        <w:overflowPunct/>
        <w:topLinePunct w:val="0"/>
        <w:autoSpaceDE/>
        <w:autoSpaceDN/>
        <w:bidi w:val="0"/>
        <w:adjustRightInd/>
        <w:snapToGrid/>
        <w:spacing w:before="320" w:after="120" w:line="560" w:lineRule="exact"/>
        <w:ind w:left="0"/>
        <w:jc w:val="left"/>
        <w:textAlignment w:val="auto"/>
        <w:outlineLvl w:val="0"/>
        <w:rPr>
          <w:rFonts w:hint="eastAsia" w:ascii="仿宋" w:hAnsi="仿宋" w:eastAsia="仿宋" w:cs="仿宋"/>
          <w:b/>
          <w:sz w:val="36"/>
          <w:szCs w:val="36"/>
          <w:lang w:val="en-US" w:eastAsia="zh-CN"/>
        </w:rPr>
      </w:pPr>
      <w:bookmarkStart w:id="69" w:name="_Toc12183"/>
      <w:bookmarkStart w:id="70" w:name="heading_49"/>
      <w:r>
        <w:rPr>
          <w:rFonts w:hint="eastAsia" w:ascii="仿宋" w:hAnsi="仿宋" w:eastAsia="仿宋" w:cs="仿宋"/>
          <w:b/>
          <w:sz w:val="36"/>
          <w:szCs w:val="36"/>
          <w:lang w:val="en-US" w:eastAsia="zh-CN"/>
        </w:rPr>
        <w:t>十三、争议解决及其他约定</w:t>
      </w:r>
      <w:bookmarkEnd w:id="69"/>
      <w:bookmarkEnd w:id="70"/>
    </w:p>
    <w:p w14:paraId="01016D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1.本协议履行过程中发生争议，双方优先友好协商解决；协商不成，任何一方均可向项目所在地人民法院提起诉讼。</w:t>
      </w:r>
    </w:p>
    <w:p w14:paraId="5AA9A3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2.本协议未尽事宜，双方另行签订书面补充协议，补充协议与本协议具有同等法律效力。</w:t>
      </w:r>
    </w:p>
    <w:p w14:paraId="06F399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rPr>
        <w:sectPr>
          <w:pgSz w:w="11905" w:h="16840"/>
          <w:pgMar w:top="1327" w:right="1406" w:bottom="1327" w:left="1406" w:header="720" w:footer="720" w:gutter="0"/>
          <w:cols w:space="720" w:num="1"/>
        </w:sectPr>
      </w:pPr>
      <w:r>
        <w:rPr>
          <w:rFonts w:hint="eastAsia" w:ascii="仿宋" w:hAnsi="仿宋" w:eastAsia="仿宋" w:cs="仿宋"/>
          <w:sz w:val="32"/>
          <w:szCs w:val="32"/>
          <w:lang w:val="en-US" w:eastAsia="zh-CN"/>
        </w:rPr>
        <w:t>3.协议一式两份，甲乙双方各执一份，签字盖章后生效</w:t>
      </w:r>
    </w:p>
    <w:p w14:paraId="030F1DCF">
      <w:pPr>
        <w:keepNext w:val="0"/>
        <w:keepLines w:val="0"/>
        <w:pageBreakBefore w:val="0"/>
        <w:widowControl w:val="0"/>
        <w:kinsoku/>
        <w:wordWrap/>
        <w:overflowPunct/>
        <w:topLinePunct w:val="0"/>
        <w:autoSpaceDE/>
        <w:autoSpaceDN/>
        <w:bidi w:val="0"/>
        <w:adjustRightInd/>
        <w:snapToGrid/>
        <w:spacing w:before="120" w:after="120" w:line="560" w:lineRule="exact"/>
        <w:ind w:left="0"/>
        <w:jc w:val="left"/>
        <w:textAlignment w:val="auto"/>
        <w:outlineLvl w:val="9"/>
        <w:rPr>
          <w:rFonts w:hint="eastAsia" w:ascii="仿宋" w:hAnsi="仿宋" w:eastAsia="仿宋" w:cs="仿宋"/>
          <w:sz w:val="32"/>
          <w:szCs w:val="32"/>
        </w:rPr>
      </w:pPr>
    </w:p>
    <w:sectPr>
      <w:pgSz w:w="11905" w:h="16840"/>
      <w:pgMar w:top="1327" w:right="1406" w:bottom="1327" w:left="1406"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D872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515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3D0BC"/>
    <w:multiLevelType w:val="singleLevel"/>
    <w:tmpl w:val="5A33D0B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10993"/>
    <w:rsid w:val="0159301C"/>
    <w:rsid w:val="01BD17FD"/>
    <w:rsid w:val="03A04F32"/>
    <w:rsid w:val="0550174C"/>
    <w:rsid w:val="09572537"/>
    <w:rsid w:val="09AF5ECF"/>
    <w:rsid w:val="0AFF4C34"/>
    <w:rsid w:val="0BEF77FB"/>
    <w:rsid w:val="0C540FAF"/>
    <w:rsid w:val="0C665DD1"/>
    <w:rsid w:val="0D6276FC"/>
    <w:rsid w:val="0DA6583B"/>
    <w:rsid w:val="0EDE1004"/>
    <w:rsid w:val="102313C5"/>
    <w:rsid w:val="129E2F84"/>
    <w:rsid w:val="13225964"/>
    <w:rsid w:val="13C133CE"/>
    <w:rsid w:val="147C72F5"/>
    <w:rsid w:val="155E2E9F"/>
    <w:rsid w:val="189A2440"/>
    <w:rsid w:val="190909D0"/>
    <w:rsid w:val="19212219"/>
    <w:rsid w:val="196D545F"/>
    <w:rsid w:val="1B083691"/>
    <w:rsid w:val="1B742AD4"/>
    <w:rsid w:val="1C2D640E"/>
    <w:rsid w:val="1EDB2D00"/>
    <w:rsid w:val="20B816B5"/>
    <w:rsid w:val="2335523F"/>
    <w:rsid w:val="2369138D"/>
    <w:rsid w:val="24596D0B"/>
    <w:rsid w:val="25CC4281"/>
    <w:rsid w:val="26995AE5"/>
    <w:rsid w:val="26EB3E67"/>
    <w:rsid w:val="27027B2E"/>
    <w:rsid w:val="273677D8"/>
    <w:rsid w:val="274912B9"/>
    <w:rsid w:val="280B47C0"/>
    <w:rsid w:val="28BE7A85"/>
    <w:rsid w:val="28ED236C"/>
    <w:rsid w:val="29855A2C"/>
    <w:rsid w:val="2A092F82"/>
    <w:rsid w:val="2A1F09F7"/>
    <w:rsid w:val="2AD4533E"/>
    <w:rsid w:val="2BB67139"/>
    <w:rsid w:val="2D0619FA"/>
    <w:rsid w:val="2F0F2DE8"/>
    <w:rsid w:val="2F527179"/>
    <w:rsid w:val="31B9528D"/>
    <w:rsid w:val="31C3435E"/>
    <w:rsid w:val="332B3F69"/>
    <w:rsid w:val="33BE4DDD"/>
    <w:rsid w:val="34EC597A"/>
    <w:rsid w:val="353D7F83"/>
    <w:rsid w:val="35656756"/>
    <w:rsid w:val="35744F5D"/>
    <w:rsid w:val="37AE6F16"/>
    <w:rsid w:val="37CD3840"/>
    <w:rsid w:val="380F20AB"/>
    <w:rsid w:val="381059C0"/>
    <w:rsid w:val="389F7439"/>
    <w:rsid w:val="39D6476D"/>
    <w:rsid w:val="3A8742C1"/>
    <w:rsid w:val="3AE570F3"/>
    <w:rsid w:val="3B3E2DB3"/>
    <w:rsid w:val="3CA56B3A"/>
    <w:rsid w:val="3D5D5666"/>
    <w:rsid w:val="3DE96EFA"/>
    <w:rsid w:val="3E09759C"/>
    <w:rsid w:val="3E8110BD"/>
    <w:rsid w:val="40100ABF"/>
    <w:rsid w:val="40414DCB"/>
    <w:rsid w:val="420C1409"/>
    <w:rsid w:val="42A81132"/>
    <w:rsid w:val="43F3462F"/>
    <w:rsid w:val="440F51E1"/>
    <w:rsid w:val="45796DB6"/>
    <w:rsid w:val="467A1461"/>
    <w:rsid w:val="474E7DCE"/>
    <w:rsid w:val="47AA594C"/>
    <w:rsid w:val="48276F9D"/>
    <w:rsid w:val="486378A9"/>
    <w:rsid w:val="49494CF1"/>
    <w:rsid w:val="49BA174B"/>
    <w:rsid w:val="49EC19FD"/>
    <w:rsid w:val="4A64571C"/>
    <w:rsid w:val="4B3612A5"/>
    <w:rsid w:val="4C017B05"/>
    <w:rsid w:val="4CA961D2"/>
    <w:rsid w:val="4E6F6FA8"/>
    <w:rsid w:val="4FA40ED3"/>
    <w:rsid w:val="50242389"/>
    <w:rsid w:val="502B6EFE"/>
    <w:rsid w:val="50746AF7"/>
    <w:rsid w:val="50806347"/>
    <w:rsid w:val="509176A9"/>
    <w:rsid w:val="53684416"/>
    <w:rsid w:val="554D5B69"/>
    <w:rsid w:val="55A6117D"/>
    <w:rsid w:val="56446F6C"/>
    <w:rsid w:val="567D422C"/>
    <w:rsid w:val="56921A85"/>
    <w:rsid w:val="569C2904"/>
    <w:rsid w:val="574511ED"/>
    <w:rsid w:val="57590062"/>
    <w:rsid w:val="58D26AB1"/>
    <w:rsid w:val="592F7A5F"/>
    <w:rsid w:val="59C208D3"/>
    <w:rsid w:val="5BC522BB"/>
    <w:rsid w:val="5C0827EA"/>
    <w:rsid w:val="5D0336DD"/>
    <w:rsid w:val="60D86C2E"/>
    <w:rsid w:val="610C0371"/>
    <w:rsid w:val="62213376"/>
    <w:rsid w:val="6283706E"/>
    <w:rsid w:val="64C64FF0"/>
    <w:rsid w:val="6694184A"/>
    <w:rsid w:val="66CA0DC7"/>
    <w:rsid w:val="670047E9"/>
    <w:rsid w:val="673D5A3D"/>
    <w:rsid w:val="67C93D6E"/>
    <w:rsid w:val="6CDC1854"/>
    <w:rsid w:val="6CE801F9"/>
    <w:rsid w:val="6CFA3F85"/>
    <w:rsid w:val="6D3E250F"/>
    <w:rsid w:val="6D747CDF"/>
    <w:rsid w:val="6E070B53"/>
    <w:rsid w:val="6E9F2B3A"/>
    <w:rsid w:val="70BF3967"/>
    <w:rsid w:val="71B66B18"/>
    <w:rsid w:val="72895FDA"/>
    <w:rsid w:val="730E028E"/>
    <w:rsid w:val="73B9469D"/>
    <w:rsid w:val="73F55FED"/>
    <w:rsid w:val="74122000"/>
    <w:rsid w:val="74312486"/>
    <w:rsid w:val="761D53B8"/>
    <w:rsid w:val="76746FA2"/>
    <w:rsid w:val="76966F18"/>
    <w:rsid w:val="76E97048"/>
    <w:rsid w:val="76EE28B0"/>
    <w:rsid w:val="770420D4"/>
    <w:rsid w:val="780E2ADE"/>
    <w:rsid w:val="787D038F"/>
    <w:rsid w:val="79B915B4"/>
    <w:rsid w:val="7A097A01"/>
    <w:rsid w:val="7A2A00A3"/>
    <w:rsid w:val="7AF21042"/>
    <w:rsid w:val="7AFA7058"/>
    <w:rsid w:val="7B705F89"/>
    <w:rsid w:val="7B86755B"/>
    <w:rsid w:val="7D4511A7"/>
    <w:rsid w:val="7D9D0B8C"/>
    <w:rsid w:val="7E290672"/>
    <w:rsid w:val="7EE2719E"/>
    <w:rsid w:val="7F0A04A3"/>
    <w:rsid w:val="7F160BF6"/>
    <w:rsid w:val="7F957EA2"/>
    <w:rsid w:val="7FB977D3"/>
    <w:rsid w:val="7FDF36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customStyle="1" w:styleId="5">
    <w:name w:val="p1"/>
    <w:basedOn w:val="1"/>
    <w:qFormat/>
    <w:uiPriority w:val="0"/>
    <w:pPr>
      <w:widowControl/>
      <w:tabs>
        <w:tab w:val="left" w:pos="700"/>
      </w:tabs>
      <w:spacing w:line="240" w:lineRule="atLeast"/>
      <w:ind w:left="740"/>
      <w:jc w:val="left"/>
    </w:pPr>
    <w:rPr>
      <w:sz w:val="24"/>
      <w:lang w:val="en-A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5865</Words>
  <Characters>7071</Characters>
  <TotalTime>54</TotalTime>
  <ScaleCrop>false</ScaleCrop>
  <LinksUpToDate>false</LinksUpToDate>
  <CharactersWithSpaces>7121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2026-06-14T03:26:00Z</dcterms:created>
  <dc:creator>Apache POI</dc:creator>
  <cp:lastModifiedBy>刘文宁</cp:lastModifiedBy>
  <dcterms:modified xsi:type="dcterms:W3CDTF">2026-07-27T00:41:19Z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{"Label":"1","ContentProducer":"001191110102MACQD9K64010000","ProduceID":"7651087365076175820","ReservedCode1":"","ContentPropagator":"","PropagateID":"","ReservedCode2":""}</vt:lpwstr>
  </property>
  <property fmtid="{D5CDD505-2E9C-101B-9397-08002B2CF9AE}" pid="3" name="KSOTemplateDocerSaveRecord">
    <vt:lpwstr>eyJoZGlkIjoiMTc1YmNjYzQzMWNmYzdiZGE2ZmExZDQ4ZmQ4YzRiOTgiLCJ1c2VySWQiOiI2NTU5NjQzMDUifQ==</vt:lpwstr>
  </property>
  <property fmtid="{D5CDD505-2E9C-101B-9397-08002B2CF9AE}" pid="4" name="KSOProductBuildVer">
    <vt:lpwstr>2052-12.1.0.26895</vt:lpwstr>
  </property>
  <property fmtid="{D5CDD505-2E9C-101B-9397-08002B2CF9AE}" pid="5" name="ICV">
    <vt:lpwstr>580A71461448475999D9859CCCC37166_13</vt:lpwstr>
  </property>
</Properties>
</file>